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Architectural</w:t>
      </w:r>
      <w:r>
        <w:t xml:space="preserve"> </w:t>
      </w:r>
      <w:r>
        <w:t xml:space="preserve">Sales</w:t>
      </w:r>
      <w:r>
        <w:t xml:space="preserve"> </w:t>
      </w:r>
      <w:r>
        <w:t xml:space="preserve">Performance</w:t>
      </w:r>
      <w:r>
        <w:t xml:space="preserve"> </w:t>
      </w:r>
      <w:r>
        <w:t xml:space="preserve">Report:</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Market</w:t>
      </w:r>
    </w:p>
    <w:bookmarkStart w:id="29" w:name="X6c2c6c70f278709695d07346e57967370be43ec"/>
    <w:p>
      <w:pPr>
        <w:pStyle w:val="Heading1"/>
      </w:pPr>
      <w:r>
        <w:t xml:space="preserve">Architectural Sales Performance Report: Vietnam Ho Chi Minh City Market Analysis &amp; Strategic Outlook</w:t>
      </w:r>
    </w:p>
    <w:p>
      <w:pPr>
        <w:pStyle w:val="FirstParagraph"/>
      </w:pPr>
      <w:r>
        <w:rPr>
          <w:bCs/>
          <w:b/>
        </w:rPr>
        <w:t xml:space="preserve">Prepared For:</w:t>
      </w:r>
      <w:r>
        <w:t xml:space="preserve"> </w:t>
      </w:r>
      <w:r>
        <w:t xml:space="preserve">Executive Leadership, Southeast Asia Regional Office</w:t>
      </w:r>
    </w:p>
    <w:p>
      <w:pPr>
        <w:pStyle w:val="BodyText"/>
      </w:pPr>
      <w:r>
        <w:rPr>
          <w:bCs/>
          <w:b/>
        </w:rPr>
        <w:t xml:space="preserve">Date:</w:t>
      </w:r>
      <w:r>
        <w:t xml:space="preserve"> </w:t>
      </w:r>
      <w:r>
        <w:t xml:space="preserve">October 26, 2023</w:t>
      </w:r>
    </w:p>
    <w:p>
      <w:pPr>
        <w:pStyle w:val="BodyText"/>
      </w:pPr>
      <w:r>
        <w:rPr>
          <w:bCs/>
          <w:b/>
        </w:rPr>
        <w:t xml:space="preserve">Reporting Period:</w:t>
      </w:r>
      <w:r>
        <w:t xml:space="preserve"> </w:t>
      </w:r>
      <w:r>
        <w:t xml:space="preserve">Q3 2023 (July 1 - September 30)</w:t>
      </w:r>
    </w:p>
    <w:p>
      <w:pPr>
        <w:pStyle w:val="BodyText"/>
      </w:pPr>
      <w:r>
        <w:rPr>
          <w:iCs/>
          <w:i/>
        </w:rPr>
        <w:t xml:space="preserve">This Sales Report details the performance of architectural service delivery and business development initiatives across Vietnam Ho Chi Minh City, with strategic focus on market expansion and client acquisition.</w:t>
      </w:r>
    </w:p>
    <w:bookmarkStart w:id="20" w:name="executive-summary"/>
    <w:p>
      <w:pPr>
        <w:pStyle w:val="Heading2"/>
      </w:pPr>
      <w:r>
        <w:t xml:space="preserve">Executive Summary</w:t>
      </w:r>
    </w:p>
    <w:p>
      <w:pPr>
        <w:pStyle w:val="FirstParagraph"/>
      </w:pPr>
      <w:r>
        <w:t xml:space="preserve">The Vietnam Ho Chi Minh City market continues to demonstrate robust growth in premium residential and commercial real estate, creating unprecedented demand for specialized architectural services. This Sales Report confirms that our firm achieved a 37% year-over-year increase in signed architectural contracts within Vietnam Ho Chi Minh City during Q3 2023, significantly exceeding the regional target of 25%. Key drivers include accelerated high-rise development projects in Districts 1, 2, and Thu Duc City, alongside growing demand for sustainable design solutions from both local developers and international investors. The success of our Architect team has positioned us as a market leader in innovative urban planning for Vietnam's most dynamic economic hub.</w:t>
      </w:r>
    </w:p>
    <w:bookmarkEnd w:id="20"/>
    <w:bookmarkStart w:id="21" w:name="X5ccf76866689c34eb26c8d30f0dfabb45627878"/>
    <w:p>
      <w:pPr>
        <w:pStyle w:val="Heading2"/>
      </w:pPr>
      <w:r>
        <w:t xml:space="preserve">Market Context: Ho Chi Minh City Real Estate Landscape</w:t>
      </w:r>
    </w:p>
    <w:p>
      <w:pPr>
        <w:pStyle w:val="FirstParagraph"/>
      </w:pPr>
      <w:r>
        <w:t xml:space="preserve">Ho Chi Minh City remains the epicenter of Vietnam's construction boom, with over 15 million residents and $18.7 billion in annual real estate transactions (Source: Vietnam Ministry of Construction, Q3 2023). The city's rapid urbanization – averaging 3.8% annual population growth – has intensified pressure on architectural firms to deliver projects that balance density, sustainability, and cultural sensitivity. In this context, the role of a skilled Architect extends far beyond blueprints; it encompasses navigating complex municipal regulations (notably the updated Ho Chi Minh City Urban Construction Regulations 2023), optimizing land use for mixed-use developments, and integrating smart-city technologies. Our Sales Report highlights that 68% of new projects in Q3 required comprehensive architectural solutions addressing climate resilience – a critical differentiator in our competitive positioning across Vietnam Ho Chi Minh City.</w:t>
      </w:r>
    </w:p>
    <w:bookmarkEnd w:id="21"/>
    <w:bookmarkStart w:id="22" w:name="Xda6fc64ad281a96057e94252ef0b114ebbfc9a9"/>
    <w:p>
      <w:pPr>
        <w:pStyle w:val="Heading2"/>
      </w:pPr>
      <w:r>
        <w:t xml:space="preserve">Q3 2023 Sales Performance: Architect-Driven Revenue Growth</w:t>
      </w:r>
    </w:p>
    <w:p>
      <w:pPr>
        <w:pStyle w:val="FirstParagraph"/>
      </w:pPr>
      <w:r>
        <w:t xml:space="preserve">The Architect-led sales pipeline generated $4.7 million in new contracts during Q3, with the following key achievements:</w:t>
      </w:r>
    </w:p>
    <w:p>
      <w:pPr>
        <w:numPr>
          <w:ilvl w:val="0"/>
          <w:numId w:val="1001"/>
        </w:numPr>
        <w:pStyle w:val="Compact"/>
      </w:pPr>
      <w:r>
        <w:rPr>
          <w:bCs/>
          <w:b/>
        </w:rPr>
        <w:t xml:space="preserve">Project Wins:</w:t>
      </w:r>
      <w:r>
        <w:t xml:space="preserve"> </w:t>
      </w:r>
      <w:r>
        <w:t xml:space="preserve">Secured 9 major architectural mandates including the Saigon Sky Park mixed-use tower (District 7), Vincom Center District 3 renovation, and a luxury eco-resort in Phu My Hung</w:t>
      </w:r>
    </w:p>
    <w:p>
      <w:pPr>
        <w:numPr>
          <w:ilvl w:val="0"/>
          <w:numId w:val="1001"/>
        </w:numPr>
        <w:pStyle w:val="Compact"/>
      </w:pPr>
      <w:r>
        <w:rPr>
          <w:bCs/>
          <w:b/>
        </w:rPr>
        <w:t xml:space="preserve">Client Expansion:</w:t>
      </w:r>
      <w:r>
        <w:t xml:space="preserve"> </w:t>
      </w:r>
      <w:r>
        <w:t xml:space="preserve">Acquired three new corporate clients – Samsung Vietnam, Vingroup International, and Mitsubishi Estate Asia Pacific – through Architect-led pitch sessions</w:t>
      </w:r>
    </w:p>
    <w:p>
      <w:pPr>
        <w:numPr>
          <w:ilvl w:val="0"/>
          <w:numId w:val="1001"/>
        </w:numPr>
        <w:pStyle w:val="Compact"/>
      </w:pPr>
      <w:r>
        <w:rPr>
          <w:bCs/>
          <w:b/>
        </w:rPr>
        <w:t xml:space="preserve">Value-Added Services:</w:t>
      </w:r>
      <w:r>
        <w:t xml:space="preserve"> </w:t>
      </w:r>
      <w:r>
        <w:t xml:space="preserve">42% of contracts included premium architectural consulting services (sustainability certification support, BIM modeling) increasing average deal value by 28%</w:t>
      </w:r>
    </w:p>
    <w:p>
      <w:pPr>
        <w:pStyle w:val="FirstParagraph"/>
      </w:pPr>
      <w:r>
        <w:t xml:space="preserve">Notably, the performance of our Architect team in client acquisition was exceptional. Sales representatives reported that projects led by our senior Architect with ASEAN sustainability credentials converted at 32% higher rates than industry averages. The architectural design presentation – emphasizing local context (e.g., integrating traditional Vietnamese courtyard elements into modern high-rises) – became a decisive factor in 14 of our 19 major wins this quarter.</w:t>
      </w:r>
    </w:p>
    <w:bookmarkEnd w:id="22"/>
    <w:bookmarkStart w:id="25" w:name="challenges-strategic-responses"/>
    <w:p>
      <w:pPr>
        <w:pStyle w:val="Heading2"/>
      </w:pPr>
      <w:r>
        <w:t xml:space="preserve">Challenges &amp; Strategic Responses</w:t>
      </w:r>
    </w:p>
    <w:bookmarkStart w:id="23" w:name="Xf6c26f57d675328afc841fe5de0e46655a1e1c2"/>
    <w:p>
      <w:pPr>
        <w:pStyle w:val="Heading3"/>
      </w:pPr>
      <w:r>
        <w:t xml:space="preserve">Challenge: Regulatory Complexity in Ho Chi Minh City</w:t>
      </w:r>
    </w:p>
    <w:p>
      <w:pPr>
        <w:pStyle w:val="FirstParagraph"/>
      </w:pPr>
      <w:r>
        <w:t xml:space="preserve">Permitting delays due to evolving zoning laws (especially for high-density projects) threatened project timelines. Our Architect team proactively addressed this by developing a customized regulatory compliance toolkit, including partnerships with the HCMC Department of Construction. This reduced approval timelines by 22%, directly improving client satisfaction scores.</w:t>
      </w:r>
    </w:p>
    <w:bookmarkEnd w:id="23"/>
    <w:bookmarkStart w:id="24" w:name="Xef0afc6fbfe34f1b2aa24d21310e5b92ff83f61"/>
    <w:p>
      <w:pPr>
        <w:pStyle w:val="Heading3"/>
      </w:pPr>
      <w:r>
        <w:t xml:space="preserve">Challenge: Talent Competition in Vietnam Market</w:t>
      </w:r>
    </w:p>
    <w:p>
      <w:pPr>
        <w:pStyle w:val="FirstParagraph"/>
      </w:pPr>
      <w:r>
        <w:t xml:space="preserve">Intense rivalry for top-tier Architect talent (particularly with international firms like AECOM and Woods Bagot) impacted retention. Our Sales Report details the implementation of a specialized career path program for Architects, featuring quarterly workshops on Vietnamese construction standards and cross-cultural client management – resulting in 100% retention of senior architectural staff.</w:t>
      </w:r>
    </w:p>
    <w:bookmarkEnd w:id="24"/>
    <w:bookmarkEnd w:id="25"/>
    <w:bookmarkStart w:id="26" w:name="strategic-initiatives-for-q4-2023-beyond"/>
    <w:p>
      <w:pPr>
        <w:pStyle w:val="Heading2"/>
      </w:pPr>
      <w:r>
        <w:t xml:space="preserve">Strategic Initiatives for Q4 2023 &amp; Beyond</w:t>
      </w:r>
    </w:p>
    <w:p>
      <w:pPr>
        <w:pStyle w:val="FirstParagraph"/>
      </w:pPr>
      <w:r>
        <w:t xml:space="preserve">Based on insights from this Sales Report, we are implementing three market-specific initiatives to capitalize on Vietnam Ho Chi Minh City's growth trajectory:</w:t>
      </w:r>
    </w:p>
    <w:p>
      <w:pPr>
        <w:numPr>
          <w:ilvl w:val="0"/>
          <w:numId w:val="1002"/>
        </w:numPr>
        <w:pStyle w:val="Compact"/>
      </w:pPr>
      <w:r>
        <w:rPr>
          <w:bCs/>
          <w:b/>
        </w:rPr>
        <w:t xml:space="preserve">Sustainability Premium Package:</w:t>
      </w:r>
      <w:r>
        <w:t xml:space="preserve"> </w:t>
      </w:r>
      <w:r>
        <w:t xml:space="preserve">Launching a new "Green Architect" service tier (LEED/EDGE certification support + passive cooling design) targeting developers building under Vietnam's National Green Building Code</w:t>
      </w:r>
    </w:p>
    <w:p>
      <w:pPr>
        <w:numPr>
          <w:ilvl w:val="0"/>
          <w:numId w:val="1002"/>
        </w:numPr>
        <w:pStyle w:val="Compact"/>
      </w:pPr>
      <w:r>
        <w:rPr>
          <w:bCs/>
          <w:b/>
        </w:rPr>
        <w:t xml:space="preserve">District 2 Expansion Hub:</w:t>
      </w:r>
      <w:r>
        <w:t xml:space="preserve"> </w:t>
      </w:r>
      <w:r>
        <w:t xml:space="preserve">Establishing dedicated architectural client relationship offices in District 2 (HCMC's emerging tech district) to serve rising demand from Fintech and startup ecosystems</w:t>
      </w:r>
    </w:p>
    <w:p>
      <w:pPr>
        <w:numPr>
          <w:ilvl w:val="0"/>
          <w:numId w:val="1002"/>
        </w:numPr>
        <w:pStyle w:val="Compact"/>
      </w:pPr>
      <w:r>
        <w:rPr>
          <w:bCs/>
          <w:b/>
        </w:rPr>
        <w:t xml:space="preserve">Government Partnership Program:</w:t>
      </w:r>
      <w:r>
        <w:t xml:space="preserve"> </w:t>
      </w:r>
      <w:r>
        <w:t xml:space="preserve">Formalizing collaboration with HCMC Urban Development Department for master planning of new urban zones, positioning our Architect team as official consultants for city expansion projects</w:t>
      </w:r>
    </w:p>
    <w:bookmarkEnd w:id="26"/>
    <w:bookmarkStart w:id="27" w:name="financial-impact-market-positioning"/>
    <w:p>
      <w:pPr>
        <w:pStyle w:val="Heading2"/>
      </w:pPr>
      <w:r>
        <w:t xml:space="preserve">Financial Impact &amp; Market Positioning</w:t>
      </w:r>
    </w:p>
    <w:p>
      <w:pPr>
        <w:pStyle w:val="FirstParagraph"/>
      </w:pPr>
      <w:r>
        <w:t xml:space="preserve">The architectural services sales performance directly contributed to a 31% increase in overall Vietnam revenue during Q3. Crucially, these projects have elevated our market positioning: we now rank #2 among architectural firms in Vietnam Ho Chi Minh City by contract value (up from #4 last year). Client retention rates for Architect-led engagements reached 89% – significantly above the industry benchmark of 72%. This success stems from our Architects' deep understanding of local building culture; for example, incorporating "lối đi thông minh" (smart pathways) into commercial developments to optimize pedestrian flow in congested urban environments.</w:t>
      </w:r>
    </w:p>
    <w:bookmarkEnd w:id="27"/>
    <w:bookmarkStart w:id="28" w:name="X9eeb6afc08e695426a998a176d4805318b6e4b9"/>
    <w:p>
      <w:pPr>
        <w:pStyle w:val="Heading2"/>
      </w:pPr>
      <w:r>
        <w:t xml:space="preserve">Conclusion: Architect as Strategic Sales Driver</w:t>
      </w:r>
    </w:p>
    <w:p>
      <w:pPr>
        <w:pStyle w:val="FirstParagraph"/>
      </w:pPr>
      <w:r>
        <w:t xml:space="preserve">This Sales Report unequivocally demonstrates that the modern Architect is no longer a design role alone – it is the central catalyst for sales success in Vietnam's competitive real estate market. In Ho Chi Minh City, where developers prioritize projects with cultural resonance and operational efficiency, our Architect team has become our most potent sales asset. The 37% revenue growth this quarter validates that investing in architectural excellence directly fuels commercial expansion.</w:t>
      </w:r>
    </w:p>
    <w:p>
      <w:pPr>
        <w:pStyle w:val="BodyText"/>
      </w:pPr>
      <w:r>
        <w:t xml:space="preserve">Looking ahead, we recommend doubling down on Architect development: allocating 15% of the HCMC sales budget to advanced sustainability training and local market immersion programs. As Vietnam continues its urban transformation journey, our Architect's expertise in navigating both technical regulations and cultural expectations will remain the cornerstone of our growth strategy in Vietnam Ho Chi Minh City. The next phase will focus on scaling architectural solutions for District 9's new smart city development – where we've already secured a $2.1 million mandate based solely on our Architect team's vision.</w:t>
      </w:r>
    </w:p>
    <w:p>
      <w:pPr>
        <w:pStyle w:val="BodyText"/>
      </w:pPr>
      <w:r>
        <w:t xml:space="preserve">© 2023 Global Architecture Partners | Sales Report: Vietnam Ho Chi Minh City Market Division | Confidential</w:t>
      </w:r>
    </w:p>
    <w:p>
      <w:pPr>
        <w:pStyle w:val="BodyText"/>
      </w:pPr>
      <w:r>
        <w:t xml:space="preserve">This document complies with all local regulations for architectural service reporting in Vietnam.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Architectural Sales Performance Report: Ho Chi Minh City Market</dc:title>
  <dc:creator/>
  <dc:language>en</dc:language>
  <cp:keywords/>
  <dcterms:created xsi:type="dcterms:W3CDTF">2026-07-24T21:33:29Z</dcterms:created>
  <dcterms:modified xsi:type="dcterms:W3CDTF">2026-07-24T21:33:29Z</dcterms:modified>
</cp:coreProperties>
</file>

<file path=docProps/custom.xml><?xml version="1.0" encoding="utf-8"?>
<Properties xmlns="http://schemas.openxmlformats.org/officeDocument/2006/custom-properties" xmlns:vt="http://schemas.openxmlformats.org/officeDocument/2006/docPropsVTypes"/>
</file>