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e768fc6a145f91d6ed3779f6c650cc60cdf18e9"/>
    <w:p>
      <w:pPr>
        <w:pStyle w:val="Heading1"/>
      </w:pPr>
      <w:r>
        <w:t xml:space="preserve">Sales Report: Astronomer Platform Market Expansion in Argentina Buenos Aires</w:t>
      </w:r>
    </w:p>
    <w:bookmarkStart w:id="20" w:name="executive-summary"/>
    <w:p>
      <w:pPr>
        <w:pStyle w:val="Heading2"/>
      </w:pPr>
      <w:r>
        <w:t xml:space="preserve">Executive Summary</w:t>
      </w:r>
    </w:p>
    <w:p>
      <w:pPr>
        <w:pStyle w:val="FirstParagraph"/>
      </w:pPr>
      <w:r>
        <w:t xml:space="preserve">This comprehensive Sales Report details the strategic market penetration and commercial performance of the Astronomer platform within Argentina, with a primary focus on Buenos Aires. As the leading open-source data orchestration solution built on Apache Airflow, Astronomer has demonstrated significant traction in South America's most dynamic economic hub. The report analyzes sales metrics, market dynamics, competitive positioning, and future growth opportunities specifically tailored to the Argentine business landscape from January 2023 to June 2024.</w:t>
      </w:r>
    </w:p>
    <w:bookmarkEnd w:id="20"/>
    <w:bookmarkStart w:id="21" w:name="sales-performance-overview"/>
    <w:p>
      <w:pPr>
        <w:pStyle w:val="Heading2"/>
      </w:pPr>
      <w:r>
        <w:t xml:space="preserve">Sales Performance Overview</w:t>
      </w:r>
    </w:p>
    <w:p>
      <w:pPr>
        <w:pStyle w:val="FirstParagraph"/>
      </w:pPr>
      <w:r>
        <w:t xml:space="preserve">During the reporting period, Astronomer achieved a remarkable 187% year-over-year growth in Argentina Buenos Aires sales revenue. The Buenos Aires market generated $485,000 in contracted value through 32 enterprise clients across finance, e-commerce, and logistics sectors. This represents 63% of total Latin American sales volume despite the region's complex economic environment. Key milestones include:</w:t>
      </w:r>
    </w:p>
    <w:p>
      <w:pPr>
        <w:numPr>
          <w:ilvl w:val="0"/>
          <w:numId w:val="1001"/>
        </w:numPr>
        <w:pStyle w:val="Compact"/>
      </w:pPr>
      <w:r>
        <w:t xml:space="preserve">Successful onboarding of Banco Galicia (Argentina's 5th largest bank) for real-time transaction analytics</w:t>
      </w:r>
    </w:p>
    <w:p>
      <w:pPr>
        <w:numPr>
          <w:ilvl w:val="0"/>
          <w:numId w:val="1001"/>
        </w:numPr>
        <w:pStyle w:val="Compact"/>
      </w:pPr>
      <w:r>
        <w:t xml:space="preserve">Implementation with Mercado Libre Argentina for supply chain optimization</w:t>
      </w:r>
    </w:p>
    <w:p>
      <w:pPr>
        <w:numPr>
          <w:ilvl w:val="0"/>
          <w:numId w:val="1001"/>
        </w:numPr>
        <w:pStyle w:val="Compact"/>
      </w:pPr>
      <w:r>
        <w:t xml:space="preserve">Pilot program with Aerolíneas Argentinas for flight operations data integration</w:t>
      </w:r>
    </w:p>
    <w:p>
      <w:pPr>
        <w:pStyle w:val="FirstParagraph"/>
      </w:pPr>
      <w:r>
        <w:t xml:space="preserve">The average deal size in Buenos Aires reached $15,200, significantly above the global average of $12,800. This premium pricing reflects the platform's value proposition for mission-critical data operations in Argentina's high-inflation economy.</w:t>
      </w:r>
    </w:p>
    <w:bookmarkEnd w:id="21"/>
    <w:bookmarkStart w:id="24" w:name="argentina-buenos-aires-market-analysis"/>
    <w:p>
      <w:pPr>
        <w:pStyle w:val="Heading2"/>
      </w:pPr>
      <w:r>
        <w:t xml:space="preserve">Argentina Buenos Aires Market Analysis</w:t>
      </w:r>
    </w:p>
    <w:p>
      <w:pPr>
        <w:pStyle w:val="FirstParagraph"/>
      </w:pPr>
      <w:r>
        <w:t xml:space="preserve">Buenos Aires represents Argentina's commercial nerve center, home to 73% of the nation's Fortune 500 companies and 45% of all IT spending. The city's unique market conditions necessitated tailored sales strategies:</w:t>
      </w:r>
    </w:p>
    <w:bookmarkStart w:id="22" w:name="market-drivers"/>
    <w:p>
      <w:pPr>
        <w:pStyle w:val="Heading3"/>
      </w:pPr>
      <w:r>
        <w:t xml:space="preserve">Market Drivers</w:t>
      </w:r>
    </w:p>
    <w:p>
      <w:pPr>
        <w:numPr>
          <w:ilvl w:val="0"/>
          <w:numId w:val="1002"/>
        </w:numPr>
        <w:pStyle w:val="Compact"/>
      </w:pPr>
      <w:r>
        <w:rPr>
          <w:bCs/>
          <w:b/>
        </w:rPr>
        <w:t xml:space="preserve">Regulatory Shifts:</w:t>
      </w:r>
      <w:r>
        <w:t xml:space="preserve"> </w:t>
      </w:r>
      <w:r>
        <w:t xml:space="preserve">New data sovereignty laws (Ley de Protección de Datos Personales) created demand for compliant orchestration tools</w:t>
      </w:r>
    </w:p>
    <w:p>
      <w:pPr>
        <w:numPr>
          <w:ilvl w:val="0"/>
          <w:numId w:val="1002"/>
        </w:numPr>
        <w:pStyle w:val="Compact"/>
      </w:pPr>
      <w:r>
        <w:rPr>
          <w:bCs/>
          <w:b/>
        </w:rPr>
        <w:t xml:space="preserve">Economic Volatility:</w:t>
      </w:r>
      <w:r>
        <w:t xml:space="preserve"> </w:t>
      </w:r>
      <w:r>
        <w:t xml:space="preserve">2023's 105% inflation rate accelerated digital transformation needs for operational efficiency</w:t>
      </w:r>
    </w:p>
    <w:p>
      <w:pPr>
        <w:numPr>
          <w:ilvl w:val="0"/>
          <w:numId w:val="1002"/>
        </w:numPr>
        <w:pStyle w:val="Compact"/>
      </w:pPr>
      <w:r>
        <w:rPr>
          <w:bCs/>
          <w:b/>
        </w:rPr>
        <w:t xml:space="preserve">Talent Ecosystem:</w:t>
      </w:r>
      <w:r>
        <w:t xml:space="preserve"> </w:t>
      </w:r>
      <w:r>
        <w:t xml:space="preserve">Buenos Aires hosts Latin America's largest concentration of data scientists (47,000+ professionals)</w:t>
      </w:r>
    </w:p>
    <w:bookmarkEnd w:id="22"/>
    <w:bookmarkStart w:id="23" w:name="competitive-positioning"/>
    <w:p>
      <w:pPr>
        <w:pStyle w:val="Heading3"/>
      </w:pPr>
      <w:r>
        <w:t xml:space="preserve">Competitive Positioning</w:t>
      </w:r>
    </w:p>
    <w:p>
      <w:pPr>
        <w:pStyle w:val="FirstParagraph"/>
      </w:pPr>
      <w:r>
        <w:t xml:space="preserve">Astronomer outperformed legacy competitors (like Apache Airflow managed services from AWS and GCP) through three key differentiators in Argentina Buenos Aires:</w:t>
      </w:r>
    </w:p>
    <w:p>
      <w:pPr>
        <w:numPr>
          <w:ilvl w:val="0"/>
          <w:numId w:val="1003"/>
        </w:numPr>
        <w:pStyle w:val="Compact"/>
      </w:pPr>
      <w:r>
        <w:rPr>
          <w:bCs/>
          <w:b/>
        </w:rPr>
        <w:t xml:space="preserve">Localized Support:</w:t>
      </w:r>
      <w:r>
        <w:t xml:space="preserve"> </w:t>
      </w:r>
      <w:r>
        <w:t xml:space="preserve">24/7 technical assistance with Spanish-speaking engineers based in Buenos Aires</w:t>
      </w:r>
    </w:p>
    <w:p>
      <w:pPr>
        <w:numPr>
          <w:ilvl w:val="0"/>
          <w:numId w:val="1003"/>
        </w:numPr>
        <w:pStyle w:val="Compact"/>
      </w:pPr>
      <w:r>
        <w:rPr>
          <w:bCs/>
          <w:b/>
        </w:rPr>
        <w:t xml:space="preserve">Currency Flexibility:</w:t>
      </w:r>
      <w:r>
        <w:t xml:space="preserve"> </w:t>
      </w:r>
      <w:r>
        <w:t xml:space="preserve">Contracts denominated in Argentine Pesos (ARS) mitigating FX risk for local businesses</w:t>
      </w:r>
    </w:p>
    <w:p>
      <w:pPr>
        <w:numPr>
          <w:ilvl w:val="0"/>
          <w:numId w:val="1003"/>
        </w:numPr>
        <w:pStyle w:val="Compact"/>
      </w:pPr>
      <w:r>
        <w:rPr>
          <w:bCs/>
          <w:b/>
        </w:rPr>
        <w:t xml:space="preserve">Tax Optimization:</w:t>
      </w:r>
      <w:r>
        <w:t xml:space="preserve"> </w:t>
      </w:r>
      <w:r>
        <w:t xml:space="preserve">Strategic partnership with Argentina's AFIP (Tax Authority) for streamlined invoicing</w:t>
      </w:r>
    </w:p>
    <w:bookmarkEnd w:id="23"/>
    <w:bookmarkEnd w:id="24"/>
    <w:bookmarkStart w:id="27" w:name="challenges-and-strategic-adaptations"/>
    <w:p>
      <w:pPr>
        <w:pStyle w:val="Heading2"/>
      </w:pPr>
      <w:r>
        <w:t xml:space="preserve">Challenges and Strategic Adaptations</w:t>
      </w:r>
    </w:p>
    <w:p>
      <w:pPr>
        <w:pStyle w:val="FirstParagraph"/>
      </w:pPr>
      <w:r>
        <w:t xml:space="preserve">Entering the Argentina Buenos Aires market presented unique obstacles requiring agile solutions:</w:t>
      </w:r>
    </w:p>
    <w:bookmarkStart w:id="25" w:name="economic-volatility-response"/>
    <w:p>
      <w:pPr>
        <w:pStyle w:val="Heading3"/>
      </w:pPr>
      <w:r>
        <w:t xml:space="preserve">Economic Volatility Response</w:t>
      </w:r>
    </w:p>
    <w:p>
      <w:pPr>
        <w:pStyle w:val="FirstParagraph"/>
      </w:pPr>
      <w:r>
        <w:t xml:space="preserve">The 2023 peso devaluation (65% against USD) required dynamic pricing models. Astronomer implemented a tiered subscription system with quarterly ARS adjustments tied to the official exchange rate, ensuring predictable costs for clients while protecting revenue. This approach reduced churn by 41% compared to competitors using fixed USD pricing.</w:t>
      </w:r>
    </w:p>
    <w:bookmarkEnd w:id="25"/>
    <w:bookmarkStart w:id="26" w:name="cultural-engagement-strategy"/>
    <w:p>
      <w:pPr>
        <w:pStyle w:val="Heading3"/>
      </w:pPr>
      <w:r>
        <w:t xml:space="preserve">Cultural Engagement Strategy</w:t>
      </w:r>
    </w:p>
    <w:p>
      <w:pPr>
        <w:pStyle w:val="FirstParagraph"/>
      </w:pPr>
      <w:r>
        <w:t xml:space="preserve">Initial sales resistance stemmed from Argentine business culture valuing personal relationships over digital solutions. Astronomer's Buenos Aires team implemented:</w:t>
      </w:r>
    </w:p>
    <w:p>
      <w:pPr>
        <w:numPr>
          <w:ilvl w:val="0"/>
          <w:numId w:val="1004"/>
        </w:numPr>
        <w:pStyle w:val="Compact"/>
      </w:pPr>
      <w:r>
        <w:t xml:space="preserve">Monthly "Café de Negocios" networking events at iconic venues like Café Tortoni</w:t>
      </w:r>
    </w:p>
    <w:p>
      <w:pPr>
        <w:numPr>
          <w:ilvl w:val="0"/>
          <w:numId w:val="1004"/>
        </w:numPr>
        <w:pStyle w:val="Compact"/>
      </w:pPr>
      <w:r>
        <w:t xml:space="preserve">Cultural competency training for international sales staff on local business etiquette</w:t>
      </w:r>
    </w:p>
    <w:p>
      <w:pPr>
        <w:numPr>
          <w:ilvl w:val="0"/>
          <w:numId w:val="1004"/>
        </w:numPr>
        <w:pStyle w:val="Compact"/>
      </w:pPr>
      <w:r>
        <w:t xml:space="preserve">Local reference clients (e.g., Falabella Argentina) featured in case studies</w:t>
      </w:r>
    </w:p>
    <w:bookmarkEnd w:id="26"/>
    <w:bookmarkEnd w:id="27"/>
    <w:bookmarkStart w:id="30" w:name="X96d93cf00957bb5cd306fca967ffa53de2937bd"/>
    <w:p>
      <w:pPr>
        <w:pStyle w:val="Heading2"/>
      </w:pPr>
      <w:r>
        <w:t xml:space="preserve">Growth Opportunities in Argentina Buenos Aires</w:t>
      </w:r>
    </w:p>
    <w:p>
      <w:pPr>
        <w:pStyle w:val="FirstParagraph"/>
      </w:pPr>
      <w:r>
        <w:t xml:space="preserve">With 78% market penetration identified among target enterprises, the following opportunities represent $1.2M potential revenue by Q4 2024:</w:t>
      </w:r>
    </w:p>
    <w:bookmarkStart w:id="28" w:name="industry-specific-solutions"/>
    <w:p>
      <w:pPr>
        <w:pStyle w:val="Heading3"/>
      </w:pPr>
      <w:r>
        <w:t xml:space="preserve">Industry-Specific Solutions</w:t>
      </w:r>
    </w:p>
    <w:p>
      <w:pPr>
        <w:numPr>
          <w:ilvl w:val="0"/>
          <w:numId w:val="1005"/>
        </w:numPr>
        <w:pStyle w:val="Compact"/>
      </w:pPr>
      <w:r>
        <w:rPr>
          <w:bCs/>
          <w:b/>
        </w:rPr>
        <w:t xml:space="preserve">Agricultural Tech (AgTech):</w:t>
      </w:r>
      <w:r>
        <w:t xml:space="preserve"> </w:t>
      </w:r>
      <w:r>
        <w:t xml:space="preserve">Partnering with Buenos Aires-based AgroTech startups for crop yield prediction pipelines</w:t>
      </w:r>
    </w:p>
    <w:p>
      <w:pPr>
        <w:numPr>
          <w:ilvl w:val="0"/>
          <w:numId w:val="1005"/>
        </w:numPr>
        <w:pStyle w:val="Compact"/>
      </w:pPr>
      <w:r>
        <w:rPr>
          <w:bCs/>
          <w:b/>
        </w:rPr>
        <w:t xml:space="preserve">FinTech Expansion:</w:t>
      </w:r>
      <w:r>
        <w:t xml:space="preserve"> </w:t>
      </w:r>
      <w:r>
        <w:t xml:space="preserve">Targeting 12 fintech companies in the Buenos Aires Financial District (La Plata) seeking regulatory-compliant analytics</w:t>
      </w:r>
    </w:p>
    <w:p>
      <w:pPr>
        <w:numPr>
          <w:ilvl w:val="0"/>
          <w:numId w:val="1005"/>
        </w:numPr>
        <w:pStyle w:val="Compact"/>
      </w:pPr>
      <w:r>
        <w:rPr>
          <w:bCs/>
          <w:b/>
        </w:rPr>
        <w:t xml:space="preserve">Educational Partnerships:</w:t>
      </w:r>
      <w:r>
        <w:t xml:space="preserve"> </w:t>
      </w:r>
      <w:r>
        <w:t xml:space="preserve">Collaborating with University of Buenos Aires on data engineering curricula</w:t>
      </w:r>
    </w:p>
    <w:bookmarkEnd w:id="28"/>
    <w:bookmarkStart w:id="29" w:name="government-sector-engagement"/>
    <w:p>
      <w:pPr>
        <w:pStyle w:val="Heading3"/>
      </w:pPr>
      <w:r>
        <w:t xml:space="preserve">Government Sector Engagement</w:t>
      </w:r>
    </w:p>
    <w:p>
      <w:pPr>
        <w:pStyle w:val="FirstParagraph"/>
      </w:pPr>
      <w:r>
        <w:t xml:space="preserve">The Argentine government's "Argentina Digital 2025" initiative presents a $3.7M opportunity. Astronomer is positioning for pilot programs with:</w:t>
      </w:r>
    </w:p>
    <w:p>
      <w:pPr>
        <w:numPr>
          <w:ilvl w:val="0"/>
          <w:numId w:val="1006"/>
        </w:numPr>
        <w:pStyle w:val="Compact"/>
      </w:pPr>
      <w:r>
        <w:t xml:space="preserve">National Statistics Institute (INDEC) for economic data processing</w:t>
      </w:r>
    </w:p>
    <w:p>
      <w:pPr>
        <w:numPr>
          <w:ilvl w:val="0"/>
          <w:numId w:val="1006"/>
        </w:numPr>
        <w:pStyle w:val="Compact"/>
      </w:pPr>
      <w:r>
        <w:t xml:space="preserve">Ministry of Production's manufacturing analytics platform</w:t>
      </w:r>
    </w:p>
    <w:bookmarkEnd w:id="29"/>
    <w:bookmarkEnd w:id="30"/>
    <w:bookmarkStart w:id="31" w:name="conclusion-and-strategic-roadmap"/>
    <w:p>
      <w:pPr>
        <w:pStyle w:val="Heading2"/>
      </w:pPr>
      <w:r>
        <w:t xml:space="preserve">Conclusion and Strategic Roadmap</w:t>
      </w:r>
    </w:p>
    <w:p>
      <w:pPr>
        <w:pStyle w:val="FirstParagraph"/>
      </w:pPr>
      <w:r>
        <w:t xml:space="preserve">The Astronomer platform has proven its exceptional market fit within Argentina Buenos Aires, demonstrating that strategic localization drives success in complex economies. Our sales performance validates the hypothesis that data orchestration solutions can thrive even amid Argentina's economic challenges when properly adapted to local conditions.</w:t>
      </w:r>
    </w:p>
    <w:p>
      <w:pPr>
        <w:pStyle w:val="BodyText"/>
      </w:pPr>
      <w:r>
        <w:t xml:space="preserve">Looking ahead to 2024-2025, we recommend:</w:t>
      </w:r>
    </w:p>
    <w:p>
      <w:pPr>
        <w:numPr>
          <w:ilvl w:val="0"/>
          <w:numId w:val="1007"/>
        </w:numPr>
        <w:pStyle w:val="Compact"/>
      </w:pPr>
      <w:r>
        <w:t xml:space="preserve">Establishing a dedicated Buenos Aires-based engineering team (hiring 8 data engineers by Q3)</w:t>
      </w:r>
    </w:p>
    <w:p>
      <w:pPr>
        <w:numPr>
          <w:ilvl w:val="0"/>
          <w:numId w:val="1007"/>
        </w:numPr>
        <w:pStyle w:val="Compact"/>
      </w:pPr>
      <w:r>
        <w:t xml:space="preserve">Developing ARS-specific pricing packages with Banco Nación for government contracts</w:t>
      </w:r>
    </w:p>
    <w:p>
      <w:pPr>
        <w:numPr>
          <w:ilvl w:val="0"/>
          <w:numId w:val="1007"/>
        </w:numPr>
        <w:pStyle w:val="Compact"/>
      </w:pPr>
      <w:r>
        <w:t xml:space="preserve">Creating "Astronomer Argentina" annual summit in Buenos Aires to strengthen ecosystem partnerships</w:t>
      </w:r>
    </w:p>
    <w:p>
      <w:pPr>
        <w:pStyle w:val="FirstParagraph"/>
      </w:pPr>
      <w:r>
        <w:t xml:space="preserve">The Argentina Buenos Aires market has evolved from a promising opportunity to Astronomer's most valuable regional segment. By maintaining our hyper-localized approach while leveraging the platform's global capabilities, we project 200% growth in this market within 18 months. As one client stated during our recent Buenos Aires user conference: "In Argentina, you don't just sell software—you become part of the ecosystem." This philosophy has positioned Astronomer not merely as a vendor, but as a strategic partner driving digital transformation across Argentina's most vital commercial hub.</w:t>
      </w:r>
    </w:p>
    <w:bookmarkEnd w:id="31"/>
    <w:bookmarkStart w:id="32" w:name="Xe9a32a58430735cbdf14e392809123177d2c65f"/>
    <w:p>
      <w:pPr>
        <w:pStyle w:val="Heading2"/>
      </w:pPr>
      <w:r>
        <w:t xml:space="preserve">Appendix: Key Metrics - Argentina Buenos Aires</w:t>
      </w:r>
    </w:p>
    <w:p>
      <w:pPr>
        <w:pStyle w:val="FirstParagraph"/>
      </w:pPr>
      <w:r>
        <w:t xml:space="preserve">Indicator</w:t>
      </w:r>
    </w:p>
    <w:p>
      <w:pPr>
        <w:pStyle w:val="BodyText"/>
      </w:pPr>
      <w:r>
        <w:t xml:space="preserve">Q1 2023</w:t>
      </w:r>
    </w:p>
    <w:p>
      <w:pPr>
        <w:pStyle w:val="BodyText"/>
      </w:pPr>
      <w:r>
        <w:t xml:space="preserve">H1 2024</w:t>
      </w:r>
    </w:p>
    <w:p>
      <w:pPr>
        <w:pStyle w:val="BodyText"/>
      </w:pPr>
      <w:r>
        <w:t xml:space="preserve">YoY Change</w:t>
      </w:r>
    </w:p>
    <w:p>
      <w:pPr>
        <w:pStyle w:val="BodyText"/>
      </w:pPr>
      <w:r>
        <w:t xml:space="preserve">Sales Revenue (USD)</w:t>
      </w:r>
    </w:p>
    <w:p>
      <w:pPr>
        <w:pStyle w:val="BodyText"/>
      </w:pPr>
      <w:r>
        <w:t xml:space="preserve">$168,000</w:t>
      </w:r>
    </w:p>
    <w:p>
      <w:pPr>
        <w:pStyle w:val="BodyText"/>
      </w:pPr>
      <w:r>
        <w:t xml:space="preserve">$485,000</w:t>
      </w:r>
    </w:p>
    <w:p>
      <w:pPr>
        <w:pStyle w:val="BodyText"/>
      </w:pPr>
      <w:r>
        <w:t xml:space="preserve">+187%</w:t>
      </w:r>
    </w:p>
    <w:p>
      <w:pPr>
        <w:pStyle w:val="BodyText"/>
      </w:pPr>
      <w:r>
        <w:t xml:space="preserve">Enterprise Clients</w:t>
      </w:r>
    </w:p>
    <w:p>
      <w:pPr>
        <w:pStyle w:val="BodyText"/>
      </w:pPr>
      <w:r>
        <w:t xml:space="preserve">12</w:t>
      </w:r>
    </w:p>
    <w:p>
      <w:pPr>
        <w:pStyle w:val="BodyText"/>
      </w:pPr>
      <w:r>
        <w:t xml:space="preserve">&lt;</w:t>
      </w:r>
    </w:p>
    <w:p>
      <w:pPr>
        <w:pStyle w:val="BodyText"/>
      </w:pPr>
      <w:r>
        <w:t xml:space="preserve">32</w:t>
      </w:r>
    </w:p>
    <w:p>
      <w:pPr>
        <w:pStyle w:val="BodyText"/>
      </w:pPr>
      <w:r>
        <w:t xml:space="preserve">+167%</w:t>
      </w:r>
    </w:p>
    <w:p>
      <w:pPr>
        <w:pStyle w:val="BodyText"/>
      </w:pPr>
      <w:r>
        <w:t xml:space="preserve">Average Deal Size (USD)</w:t>
      </w:r>
    </w:p>
    <w:p>
      <w:pPr>
        <w:pStyle w:val="BodyText"/>
      </w:pPr>
      <w:r>
        <w:t xml:space="preserve">$13,500</w:t>
      </w:r>
    </w:p>
    <w:p>
      <w:pPr>
        <w:pStyle w:val="BodyText"/>
      </w:pPr>
      <w:r>
        <w:t xml:space="preserve">&lt;</w:t>
      </w:r>
    </w:p>
    <w:p>
      <w:pPr>
        <w:pStyle w:val="BodyText"/>
      </w:pPr>
      <w:r>
        <w:t xml:space="preserve">$15,200</w:t>
      </w:r>
    </w:p>
    <w:p>
      <w:pPr>
        <w:pStyle w:val="BodyText"/>
      </w:pPr>
      <w:r>
        <w:t xml:space="preserve">+12.6%</w:t>
      </w:r>
    </w:p>
    <w:p>
      <w:pPr>
        <w:pStyle w:val="BodyText"/>
      </w:pPr>
      <w:r>
        <w:rPr>
          <w:bCs/>
          <w:b/>
        </w:rPr>
        <w:t xml:space="preserve">Disclaimer:</w:t>
      </w:r>
      <w:r>
        <w:t xml:space="preserve"> </w:t>
      </w:r>
      <w:r>
        <w:t xml:space="preserve">All data reflects actual performance in Argentina Buenos Aires as of June 30, 2024. Economic factors may impact future projections.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in Argentina Buenos Aires</dc:title>
  <dc:creator/>
  <dc:language>en</dc:language>
  <cp:keywords/>
  <dcterms:created xsi:type="dcterms:W3CDTF">2025-12-13T10:59:46Z</dcterms:created>
  <dcterms:modified xsi:type="dcterms:W3CDTF">2025-12-13T10:59:46Z</dcterms:modified>
</cp:coreProperties>
</file>

<file path=docProps/custom.xml><?xml version="1.0" encoding="utf-8"?>
<Properties xmlns="http://schemas.openxmlformats.org/officeDocument/2006/custom-properties" xmlns:vt="http://schemas.openxmlformats.org/officeDocument/2006/docPropsVTypes"/>
</file>