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Performance</w:t>
      </w:r>
      <w:r>
        <w:t xml:space="preserve"> </w:t>
      </w:r>
      <w:r>
        <w:t xml:space="preserve">Report:</w:t>
      </w:r>
      <w:r>
        <w:t xml:space="preserve"> </w:t>
      </w:r>
      <w:r>
        <w:t xml:space="preserve">Australia</w:t>
      </w:r>
      <w:r>
        <w:t xml:space="preserve"> </w:t>
      </w:r>
      <w:r>
        <w:t xml:space="preserve">Melbourne</w:t>
      </w:r>
      <w:r>
        <w:t xml:space="preserve"> </w:t>
      </w:r>
      <w:r>
        <w:t xml:space="preserve">Market</w:t>
      </w:r>
    </w:p>
    <w:bookmarkStart w:id="28" w:name="X4263c245aac13bd1b8ad10e5c24f86b84c7b73a"/>
    <w:p>
      <w:pPr>
        <w:pStyle w:val="Heading1"/>
      </w:pPr>
      <w:r>
        <w:t xml:space="preserve">Astronomer Sales Performance Report for Australia Melbourne Market</w:t>
      </w:r>
    </w:p>
    <w:p>
      <w:pPr>
        <w:pStyle w:val="FirstParagraph"/>
      </w:pPr>
      <w:r>
        <w:rPr>
          <w:iCs/>
          <w:i/>
        </w:rPr>
        <w:t xml:space="preserve">Prepared for Executive Leadership | Q3 2023 | Australia Melbourne Focus</w:t>
      </w:r>
    </w:p>
    <w:bookmarkStart w:id="20" w:name="executive-summary"/>
    <w:p>
      <w:pPr>
        <w:pStyle w:val="Heading2"/>
      </w:pPr>
      <w:r>
        <w:t xml:space="preserve">Executive Summary</w:t>
      </w:r>
    </w:p>
    <w:p>
      <w:pPr>
        <w:pStyle w:val="FirstParagraph"/>
      </w:pPr>
      <w:r>
        <w:t xml:space="preserve">This report details the exceptional sales performance of the</w:t>
      </w:r>
      <w:r>
        <w:t xml:space="preserve"> </w:t>
      </w:r>
      <w:r>
        <w:rPr>
          <w:bCs/>
          <w:b/>
        </w:rPr>
        <w:t xml:space="preserve">Astronomer</w:t>
      </w:r>
      <w:r>
        <w:t xml:space="preserve"> </w:t>
      </w:r>
      <w:r>
        <w:t xml:space="preserve">platform within the Australia Melbourne market during Q3 2023. Serving as a leading open-source data orchestration solution,</w:t>
      </w:r>
      <w:r>
        <w:t xml:space="preserve"> </w:t>
      </w:r>
      <w:r>
        <w:rPr>
          <w:bCs/>
          <w:b/>
        </w:rPr>
        <w:t xml:space="preserve">Astronomer</w:t>
      </w:r>
      <w:r>
        <w:t xml:space="preserve"> </w:t>
      </w:r>
      <w:r>
        <w:t xml:space="preserve">has demonstrated remarkable traction across Melbourne's dynamic technology and enterprise landscape. The Australia Melbourne region contributed significantly to our global growth, achieving a 47% year-over-year increase in revenue compared to Q3 2022. This success underscores the platform's strategic alignment with data-driven transformation initiatives unique to Australian businesses operating from Melbourne's tech hub.</w:t>
      </w:r>
    </w:p>
    <w:bookmarkEnd w:id="20"/>
    <w:bookmarkStart w:id="21" w:name="X45fa44a4c6a4226d91b55fbdf0f91575a56e44f"/>
    <w:p>
      <w:pPr>
        <w:pStyle w:val="Heading2"/>
      </w:pPr>
      <w:r>
        <w:t xml:space="preserve">Market Context: Why Astronomer in Australia Melbourne?</w:t>
      </w:r>
    </w:p>
    <w:p>
      <w:pPr>
        <w:pStyle w:val="FirstParagraph"/>
      </w:pPr>
      <w:r>
        <w:t xml:space="preserve">Melbourne has emerged as a pivotal data innovation center within Australia, home to major financial institutions (CBA, NAB), e-commerce giants (Kogan, Austrade), and burgeoning SaaS startups. The region faces intense pressure to modernize legacy data pipelines while adhering to strict Australian Privacy Principles (APP) and the Privacy Act 1988.</w:t>
      </w:r>
      <w:r>
        <w:t xml:space="preserve"> </w:t>
      </w:r>
      <w:r>
        <w:rPr>
          <w:bCs/>
          <w:b/>
        </w:rPr>
        <w:t xml:space="preserve">Astronomer</w:t>
      </w:r>
      <w:r>
        <w:t xml:space="preserve">, as a cloud-native orchestration platform built on Apache Airflow, directly addresses these challenges by offering:</w:t>
      </w:r>
    </w:p>
    <w:p>
      <w:pPr>
        <w:numPr>
          <w:ilvl w:val="0"/>
          <w:numId w:val="1001"/>
        </w:numPr>
        <w:pStyle w:val="Compact"/>
      </w:pPr>
      <w:r>
        <w:t xml:space="preserve">Native compliance with Australian data residency requirements</w:t>
      </w:r>
    </w:p>
    <w:p>
      <w:pPr>
        <w:numPr>
          <w:ilvl w:val="0"/>
          <w:numId w:val="1001"/>
        </w:numPr>
        <w:pStyle w:val="Compact"/>
      </w:pPr>
      <w:r>
        <w:t xml:space="preserve">Reduced operational costs through open-source efficiency (critical for Melbourne SMEs)</w:t>
      </w:r>
    </w:p>
    <w:p>
      <w:pPr>
        <w:numPr>
          <w:ilvl w:val="0"/>
          <w:numId w:val="1001"/>
        </w:numPr>
        <w:pStyle w:val="Compact"/>
      </w:pPr>
      <w:r>
        <w:t xml:space="preserve">Simplified management of complex data workflows across AWS Sydney and Melbourne regions</w:t>
      </w:r>
    </w:p>
    <w:p>
      <w:pPr>
        <w:pStyle w:val="FirstParagraph"/>
      </w:pPr>
      <w:r>
        <w:t xml:space="preserve">The Australia Melbourne market's focus on agile data delivery – particularly in FinTech, healthcare analytics, and retail sectors – has made</w:t>
      </w:r>
      <w:r>
        <w:t xml:space="preserve"> </w:t>
      </w:r>
      <w:r>
        <w:rPr>
          <w:bCs/>
          <w:b/>
        </w:rPr>
        <w:t xml:space="preserve">Astronomer</w:t>
      </w:r>
      <w:r>
        <w:t xml:space="preserve"> </w:t>
      </w:r>
      <w:r>
        <w:t xml:space="preserve">the preferred solution for 32% of new enterprise contracts secured this quarter.</w:t>
      </w:r>
    </w:p>
    <w:bookmarkEnd w:id="21"/>
    <w:bookmarkStart w:id="23" w:name="Xd8c0f3d37162f9f2abd6becd694ef0236686512"/>
    <w:p>
      <w:pPr>
        <w:pStyle w:val="Heading2"/>
      </w:pPr>
      <w:r>
        <w:t xml:space="preserve">Sales Performance Highlights (Australia Melbourne)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(Australia Melbourne)</w:t>
            </w:r>
          </w:p>
        </w:tc>
        <w:tc>
          <w:tcPr/>
          <w:p>
            <w:pPr>
              <w:pStyle w:val="Compact"/>
              <w:jc w:val="left"/>
            </w:pPr>
            <w:r>
              <w:t xml:space="preserve">Q3 2022 (Australia Melbourne)</w:t>
            </w:r>
          </w:p>
        </w:tc>
        <w:tc>
          <w:tcPr/>
          <w:p>
            <w:pPr>
              <w:pStyle w:val="Compact"/>
              <w:jc w:val="left"/>
            </w:pPr>
            <w:r>
              <w:t xml:space="preserve">Growth</w:t>
            </w:r>
          </w:p>
        </w:tc>
      </w:tr>
      <w:tr>
        <w:tc>
          <w:tcPr/>
          <w:p>
            <w:pPr>
              <w:pStyle w:val="Compact"/>
              <w:jc w:val="left"/>
            </w:pPr>
            <w:r>
              <w:t xml:space="preserve">New Enterprise Contracts</w:t>
            </w:r>
          </w:p>
        </w:tc>
        <w:tc>
          <w:tcPr/>
          <w:p>
            <w:pPr>
              <w:pStyle w:val="Compact"/>
              <w:jc w:val="left"/>
            </w:pPr>
            <w:r>
              <w:t xml:space="preserve">18</w:t>
            </w:r>
          </w:p>
        </w:tc>
        <w:tc>
          <w:tcPr/>
          <w:p>
            <w:pPr>
              <w:pStyle w:val="Compact"/>
              <w:jc w:val="left"/>
            </w:pPr>
            <w:r>
              <w:t xml:space="preserve">10</w:t>
            </w:r>
          </w:p>
        </w:tc>
        <w:tc>
          <w:tcPr/>
          <w:p>
            <w:pPr>
              <w:pStyle w:val="Compact"/>
              <w:jc w:val="left"/>
            </w:pPr>
            <w:r>
              <w:t xml:space="preserve">+80%</w:t>
            </w:r>
          </w:p>
        </w:tc>
      </w:tr>
      <w:tr>
        <w:tc>
          <w:tcPr/>
          <w:p>
            <w:pPr>
              <w:pStyle w:val="Compact"/>
              <w:jc w:val="left"/>
            </w:pPr>
            <w:r>
              <w:t xml:space="preserve">Total Revenue Generated</w:t>
            </w:r>
          </w:p>
        </w:tc>
        <w:tc>
          <w:tcPr/>
          <w:p>
            <w:pPr>
              <w:pStyle w:val="Compact"/>
              <w:jc w:val="left"/>
            </w:pPr>
            <w:r>
              <w:t xml:space="preserve">$3,125,000 AUD</w:t>
            </w:r>
          </w:p>
        </w:tc>
        <w:tc>
          <w:tcPr/>
          <w:p>
            <w:pPr>
              <w:pStyle w:val="Compact"/>
              <w:jc w:val="left"/>
            </w:pPr>
            <w:r>
              <w:t xml:space="preserve">$2,125,000 AUD</w:t>
            </w:r>
          </w:p>
        </w:tc>
        <w:tc>
          <w:tcPr/>
          <w:p>
            <w:pPr>
              <w:pStyle w:val="Compact"/>
              <w:jc w:val="left"/>
            </w:pPr>
            <w:r>
              <w:t xml:space="preserve">+47%</w:t>
            </w:r>
          </w:p>
        </w:tc>
      </w:tr>
      <w:tr>
        <w:tc>
          <w:tcPr/>
          <w:p>
            <w:pPr>
              <w:pStyle w:val="Compact"/>
              <w:jc w:val="left"/>
            </w:pPr>
            <w:r>
              <w:t xml:space="preserve">Customer Retention Rate</w:t>
            </w:r>
          </w:p>
        </w:tc>
        <w:tc>
          <w:tcPr/>
          <w:p>
            <w:pPr>
              <w:pStyle w:val="Compact"/>
              <w:jc w:val="left"/>
            </w:pPr>
            <w:r>
              <w:t xml:space="preserve">94%</w:t>
            </w:r>
          </w:p>
        </w:tc>
        <w:tc>
          <w:tcPr/>
          <w:p>
            <w:pPr>
              <w:pStyle w:val="Compact"/>
              <w:jc w:val="left"/>
            </w:pPr>
            <w:r>
              <w:t xml:space="preserve">88%</w:t>
            </w:r>
          </w:p>
        </w:tc>
        <w:tc>
          <w:tcPr/>
          <w:p>
            <w:pPr>
              <w:pStyle w:val="Compact"/>
              <w:jc w:val="left"/>
            </w:pPr>
            <w:r>
              <w:t xml:space="preserve">+6 percentage points</w:t>
            </w:r>
          </w:p>
        </w:tc>
      </w:tr>
      <w:tr>
        <w:tc>
          <w:tcPr/>
          <w:p>
            <w:pPr>
              <w:pStyle w:val="Compact"/>
              <w:jc w:val="left"/>
            </w:pPr>
            <w:r>
              <w:t xml:space="preserve">Avg. Deal Size</w:t>
            </w:r>
          </w:p>
        </w:tc>
        <w:tc>
          <w:tcPr/>
          <w:p>
            <w:pPr>
              <w:pStyle w:val="Compact"/>
              <w:jc w:val="left"/>
            </w:pPr>
            <w:r>
              <w:t xml:space="preserve">$173,600 AUD</w:t>
            </w:r>
          </w:p>
        </w:tc>
        <w:tc>
          <w:tcPr/>
          <w:p>
            <w:pPr>
              <w:pStyle w:val="Compact"/>
              <w:jc w:val="left"/>
            </w:pPr>
            <w:r>
              <w:t xml:space="preserve">$212,500 AUD</w:t>
            </w:r>
          </w:p>
        </w:tc>
        <w:tc>
          <w:tcPr/>
          <w:p>
            <w:pPr>
              <w:pStyle w:val="Compact"/>
              <w:jc w:val="left"/>
            </w:pPr>
            <w:r>
              <w:t xml:space="preserve">-18% (Driven by SME expansion)</w:t>
            </w:r>
          </w:p>
        </w:tc>
      </w:tr>
    </w:tbl>
    <w:bookmarkStart w:id="22" w:name="regional-growth-drivers"/>
    <w:p>
      <w:pPr>
        <w:pStyle w:val="Heading3"/>
      </w:pPr>
      <w:r>
        <w:t xml:space="preserve">Regional Growth Drivers:</w:t>
      </w:r>
    </w:p>
    <w:p>
      <w:pPr>
        <w:numPr>
          <w:ilvl w:val="0"/>
          <w:numId w:val="1002"/>
        </w:numPr>
        <w:pStyle w:val="Compact"/>
      </w:pPr>
      <w:r>
        <w:rPr>
          <w:bCs/>
          <w:b/>
        </w:rPr>
        <w:t xml:space="preserve">Strategic Partnerships:</w:t>
      </w:r>
      <w:r>
        <w:t xml:space="preserve"> </w:t>
      </w:r>
      <w:r>
        <w:t xml:space="preserve">Successful integration with Melbourne-based cloud providers (Nimble Cloud, Vantage Data Centers) to offer bundled AWS/Azure solutions.</w:t>
      </w:r>
    </w:p>
    <w:p>
      <w:pPr>
        <w:numPr>
          <w:ilvl w:val="0"/>
          <w:numId w:val="1002"/>
        </w:numPr>
        <w:pStyle w:val="Compact"/>
      </w:pPr>
      <w:r>
        <w:rPr>
          <w:bCs/>
          <w:b/>
        </w:rPr>
        <w:t xml:space="preserve">Industry-Specific Solutions:</w:t>
      </w:r>
      <w:r>
        <w:t xml:space="preserve"> </w:t>
      </w:r>
      <w:r>
        <w:t xml:space="preserve">Tailored deployments for Australian healthcare data compliance (e.g., Melbourne hospital network using Astronomer for HIPAA-aligned patient analytics).</w:t>
      </w:r>
    </w:p>
    <w:p>
      <w:pPr>
        <w:numPr>
          <w:ilvl w:val="0"/>
          <w:numId w:val="1002"/>
        </w:numPr>
        <w:pStyle w:val="Compact"/>
      </w:pPr>
      <w:r>
        <w:rPr>
          <w:bCs/>
          <w:b/>
        </w:rPr>
        <w:t xml:space="preserve">Local Events:</w:t>
      </w:r>
      <w:r>
        <w:t xml:space="preserve"> </w:t>
      </w:r>
      <w:r>
        <w:t xml:space="preserve">High attendance at the 2023 DataFest Melbourne conference, generating 47 qualified leads.</w:t>
      </w:r>
    </w:p>
    <w:bookmarkEnd w:id="22"/>
    <w:bookmarkEnd w:id="23"/>
    <w:bookmarkStart w:id="24" w:name="X5ecd233c42127961fe70a6b63de883c8075c439"/>
    <w:p>
      <w:pPr>
        <w:pStyle w:val="Heading2"/>
      </w:pPr>
      <w:r>
        <w:t xml:space="preserve">Client Success Story: Melbourne Retail Leader</w:t>
      </w:r>
    </w:p>
    <w:p>
      <w:pPr>
        <w:pStyle w:val="FirstParagraph"/>
      </w:pPr>
      <w:r>
        <w:rPr>
          <w:bCs/>
          <w:b/>
        </w:rPr>
        <w:t xml:space="preserve">Challenge:</w:t>
      </w:r>
      <w:r>
        <w:t xml:space="preserve"> </w:t>
      </w:r>
      <w:r>
        <w:t xml:space="preserve">A major Melbourne-based retail conglomerate (with operations across Australia) struggled with manual data pipelines causing 12+ hour delays in sales reporting, impacting real-time marketing decisions. Their existing solution failed to meet Australian Privacy Act requirements for customer data handling.</w:t>
      </w:r>
    </w:p>
    <w:p>
      <w:pPr>
        <w:pStyle w:val="BodyText"/>
      </w:pPr>
      <w:r>
        <w:rPr>
          <w:bCs/>
          <w:b/>
        </w:rPr>
        <w:t xml:space="preserve">Astronomer Solution:</w:t>
      </w:r>
      <w:r>
        <w:t xml:space="preserve"> </w:t>
      </w:r>
      <w:r>
        <w:t xml:space="preserve">We deployed</w:t>
      </w:r>
      <w:r>
        <w:t xml:space="preserve"> </w:t>
      </w:r>
      <w:r>
        <w:rPr>
          <w:bCs/>
          <w:b/>
        </w:rPr>
        <w:t xml:space="preserve">Astronomer</w:t>
      </w:r>
      <w:r>
        <w:t xml:space="preserve"> </w:t>
      </w:r>
      <w:r>
        <w:t xml:space="preserve">on their Melbourne-hosted infrastructure, replacing 14 legacy scripts with a single unified orchestration layer. The platform's native support for AU data residency and automated compliance checks were critical differentiators.</w:t>
      </w:r>
    </w:p>
    <w:p>
      <w:pPr>
        <w:pStyle w:val="BodyText"/>
      </w:pPr>
      <w:r>
        <w:rPr>
          <w:bCs/>
          <w:b/>
        </w:rPr>
        <w:t xml:space="preserve">Results (Australia Melbourne Impact):</w:t>
      </w:r>
    </w:p>
    <w:p>
      <w:pPr>
        <w:numPr>
          <w:ilvl w:val="0"/>
          <w:numId w:val="1003"/>
        </w:numPr>
        <w:pStyle w:val="Compact"/>
      </w:pPr>
      <w:r>
        <w:t xml:space="preserve">Reduced report generation time from 12 hours to 47 minutes</w:t>
      </w:r>
    </w:p>
    <w:p>
      <w:pPr>
        <w:numPr>
          <w:ilvl w:val="0"/>
          <w:numId w:val="1003"/>
        </w:numPr>
        <w:pStyle w:val="Compact"/>
      </w:pPr>
      <w:r>
        <w:t xml:space="preserve">Achieved full compliance with Australian Privacy Principles, avoiding potential $3M in regulatory penalties</w:t>
      </w:r>
    </w:p>
    <w:bookmarkEnd w:id="24"/>
    <w:bookmarkStart w:id="25" w:name="challenges-strategic-adjustments"/>
    <w:p>
      <w:pPr>
        <w:pStyle w:val="Heading2"/>
      </w:pPr>
      <w:r>
        <w:t xml:space="preserve">Challenges &amp; Strategic Adjustments</w:t>
      </w:r>
    </w:p>
    <w:p>
      <w:pPr>
        <w:pStyle w:val="FirstParagraph"/>
      </w:pPr>
      <w:r>
        <w:t xml:space="preserve">While growth was strong, two key challenges emerged in the Australia Melbourne market:</w:t>
      </w:r>
    </w:p>
    <w:p>
      <w:pPr>
        <w:numPr>
          <w:ilvl w:val="0"/>
          <w:numId w:val="1004"/>
        </w:numPr>
        <w:pStyle w:val="Compact"/>
      </w:pPr>
      <w:r>
        <w:rPr>
          <w:bCs/>
          <w:b/>
        </w:rPr>
        <w:t xml:space="preserve">Technical Onboarding Complexity:</w:t>
      </w:r>
      <w:r>
        <w:t xml:space="preserve"> </w:t>
      </w:r>
      <w:r>
        <w:t xml:space="preserve">Initial setup required significant local expertise. We addressed this by training 12 Melbourne-based certified engineers from our regional partner network (including DataTech Solutions, Docklands).</w:t>
      </w:r>
    </w:p>
    <w:p>
      <w:pPr>
        <w:numPr>
          <w:ilvl w:val="0"/>
          <w:numId w:val="1004"/>
        </w:numPr>
        <w:pStyle w:val="Compact"/>
      </w:pPr>
      <w:r>
        <w:rPr>
          <w:bCs/>
          <w:b/>
        </w:rPr>
        <w:t xml:space="preserve">Competitive Landscape:</w:t>
      </w:r>
      <w:r>
        <w:t xml:space="preserve"> </w:t>
      </w:r>
      <w:r>
        <w:t xml:space="preserve">Local SaaS vendors offered cheaper but less compliant alternatives. Response: Launched a "Compliance Assurance Package" highlighting AU-specific features at no extra cost for Melbourne customers.</w:t>
      </w:r>
    </w:p>
    <w:bookmarkEnd w:id="25"/>
    <w:bookmarkStart w:id="26" w:name="X22c0e27b350caccb58541e73b1dae3a0fb651bd"/>
    <w:p>
      <w:pPr>
        <w:pStyle w:val="Heading2"/>
      </w:pPr>
      <w:r>
        <w:t xml:space="preserve">Future Outlook &amp; Australia Melbourne Strategy</w:t>
      </w:r>
    </w:p>
    <w:p>
      <w:pPr>
        <w:pStyle w:val="FirstParagraph"/>
      </w:pPr>
      <w:r>
        <w:t xml:space="preserve">The Australia Melbourne market represents a high-potential growth engine for</w:t>
      </w:r>
      <w:r>
        <w:t xml:space="preserve"> </w:t>
      </w:r>
      <w:r>
        <w:rPr>
          <w:bCs/>
          <w:b/>
        </w:rPr>
        <w:t xml:space="preserve">Astronomer</w:t>
      </w:r>
      <w:r>
        <w:t xml:space="preserve">. Our strategy focuses on three pillars:</w:t>
      </w:r>
    </w:p>
    <w:p>
      <w:pPr>
        <w:numPr>
          <w:ilvl w:val="0"/>
          <w:numId w:val="1005"/>
        </w:numPr>
        <w:pStyle w:val="Compact"/>
      </w:pPr>
      <w:r>
        <w:rPr>
          <w:bCs/>
          <w:b/>
        </w:rPr>
        <w:t xml:space="preserve">Deepen Enterprise Penetration:</w:t>
      </w:r>
      <w:r>
        <w:t xml:space="preserve"> </w:t>
      </w:r>
      <w:r>
        <w:t xml:space="preserve">Targeting 30+ additional Fortune 500 companies in Melbourne's CBD financial corridor by Q2 2024.</w:t>
      </w:r>
    </w:p>
    <w:p>
      <w:pPr>
        <w:numPr>
          <w:ilvl w:val="0"/>
          <w:numId w:val="1005"/>
        </w:numPr>
        <w:pStyle w:val="Compact"/>
      </w:pPr>
      <w:r>
        <w:rPr>
          <w:bCs/>
          <w:b/>
        </w:rPr>
        <w:t xml:space="preserve">Leverage Local Community:</w:t>
      </w:r>
      <w:r>
        <w:t xml:space="preserve"> </w:t>
      </w:r>
      <w:r>
        <w:t xml:space="preserve">Expanding partnerships with Melbourne universities (University of Melbourne, RMIT) for talent pipeline and research collaboration on Australian data governance frameworks.</w:t>
      </w:r>
    </w:p>
    <w:p>
      <w:pPr>
        <w:numPr>
          <w:ilvl w:val="0"/>
          <w:numId w:val="1005"/>
        </w:numPr>
        <w:pStyle w:val="Compact"/>
      </w:pPr>
      <w:r>
        <w:rPr>
          <w:bCs/>
          <w:b/>
        </w:rPr>
        <w:t xml:space="preserve">Regional Expansion:</w:t>
      </w:r>
      <w:r>
        <w:t xml:space="preserve"> </w:t>
      </w:r>
      <w:r>
        <w:t xml:space="preserve">Using Melbourne as a springboard to scale into Brisbane and Adelaide while maintaining local Australia Melbourne headquarters for regional oversight.</w:t>
      </w:r>
    </w:p>
    <w:bookmarkEnd w:id="26"/>
    <w:bookmarkStart w:id="27" w:name="conclusion"/>
    <w:p>
      <w:pPr>
        <w:pStyle w:val="Heading2"/>
      </w:pPr>
      <w:r>
        <w:t xml:space="preserve">Conclusion</w:t>
      </w:r>
    </w:p>
    <w:p>
      <w:pPr>
        <w:pStyle w:val="FirstParagraph"/>
      </w:pPr>
      <w:r>
        <w:t xml:space="preserve">The Q3 2023 performance underscores that</w:t>
      </w:r>
      <w:r>
        <w:t xml:space="preserve"> </w:t>
      </w:r>
      <w:r>
        <w:rPr>
          <w:bCs/>
          <w:b/>
        </w:rPr>
        <w:t xml:space="preserve">Astronomer</w:t>
      </w:r>
      <w:r>
        <w:t xml:space="preserve"> </w:t>
      </w:r>
      <w:r>
        <w:t xml:space="preserve">is not merely a technical solution but a strategic enabler for Australian businesses operating from Melbourne. The platform's alignment with local compliance needs, cost-efficiency advantages, and demonstrable ROI have positioned it as the preferred data orchestration platform across Australia Melbourne. With 87% of current customers expanding their</w:t>
      </w:r>
      <w:r>
        <w:t xml:space="preserve"> </w:t>
      </w:r>
      <w:r>
        <w:rPr>
          <w:bCs/>
          <w:b/>
        </w:rPr>
        <w:t xml:space="preserve">Astronomer</w:t>
      </w:r>
      <w:r>
        <w:t xml:space="preserve"> </w:t>
      </w:r>
      <w:r>
        <w:t xml:space="preserve">footprint in Q3, and a robust sales pipeline targeting $5.2M AUD in new contracts for Q4 2023, the Australia Melbourne market will continue to be a cornerstone of our global success. As Melbourne accelerates its journey toward data-driven innovation,</w:t>
      </w:r>
      <w:r>
        <w:t xml:space="preserve"> </w:t>
      </w:r>
      <w:r>
        <w:rPr>
          <w:bCs/>
          <w:b/>
        </w:rPr>
        <w:t xml:space="preserve">Astronomer</w:t>
      </w:r>
      <w:r>
        <w:t xml:space="preserve"> </w:t>
      </w:r>
      <w:r>
        <w:t xml:space="preserve">remains the trusted partner delivering measurable business value – precisely where it matters most.</w:t>
      </w:r>
    </w:p>
    <w:p>
      <w:pPr>
        <w:pStyle w:val="BodyText"/>
      </w:pPr>
      <w:r>
        <w:t xml:space="preserve">Prepared by Global Sales Intelligence Team | Astronomer Inc. | Australia Melbourne Office | September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Performance Report: Australia Melbourne Market</dc:title>
  <dc:creator/>
  <dc:language>en</dc:language>
  <cp:keywords/>
  <dcterms:created xsi:type="dcterms:W3CDTF">2025-12-13T03:10:19Z</dcterms:created>
  <dcterms:modified xsi:type="dcterms:W3CDTF">2025-12-13T03:10:19Z</dcterms:modified>
</cp:coreProperties>
</file>

<file path=docProps/custom.xml><?xml version="1.0" encoding="utf-8"?>
<Properties xmlns="http://schemas.openxmlformats.org/officeDocument/2006/custom-properties" xmlns:vt="http://schemas.openxmlformats.org/officeDocument/2006/docPropsVTypes"/>
</file>