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e9b46cfbe0b405edf3df26e44435c49c5836f90"/>
    <w:p>
      <w:pPr>
        <w:pStyle w:val="Heading1"/>
      </w:pPr>
      <w:r>
        <w:t xml:space="preserve">Comprehensive Sales Report: Astronomer Solutions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Astronomer Inc.</w:t>
      </w:r>
      <w:r>
        <w:br/>
      </w:r>
      <w:r>
        <w:rPr>
          <w:bCs/>
          <w:b/>
        </w:rPr>
        <w:t xml:space="preserve">Region Covered:</w:t>
      </w:r>
      <w:r>
        <w:t xml:space="preserve"> </w:t>
      </w:r>
      <w:r>
        <w:t xml:space="preserve">Belgium Brussels Metropolitan Area</w:t>
      </w:r>
    </w:p>
    <w:bookmarkStart w:id="20" w:name="i.-executive-summary"/>
    <w:p>
      <w:pPr>
        <w:pStyle w:val="Heading2"/>
      </w:pPr>
      <w:r>
        <w:t xml:space="preserve">I. Executive Summary</w:t>
      </w:r>
    </w:p>
    <w:p>
      <w:pPr>
        <w:pStyle w:val="FirstParagraph"/>
      </w:pPr>
      <w:r>
        <w:t xml:space="preserve">This Sales Report details the performance of Astronomer solutions within the Belgium Brussels market during Q3 2023. As a leading enterprise data orchestration platform, Astronomer has achieved remarkable traction in this strategic European hub, demonstrating a 47% year-over-year sales growth. The Belgium Brussels market represents a critical focal point for our European expansion strategy, with significant opportunities in financial services, government IT modernization, and advanced analytics sectors. This report confirms Astronomer's position as the preferred workflow orchestration solution for data-driven enterprises across the Brussels capital region.</w:t>
      </w:r>
    </w:p>
    <w:bookmarkEnd w:id="20"/>
    <w:bookmarkStart w:id="21" w:name="ii.-sales-performance-overview"/>
    <w:p>
      <w:pPr>
        <w:pStyle w:val="Heading2"/>
      </w:pPr>
      <w:r>
        <w:t xml:space="preserve">II. Sales Performance Overview</w:t>
      </w:r>
    </w:p>
    <w:p>
      <w:pPr>
        <w:pStyle w:val="FirstParagraph"/>
      </w:pPr>
      <w:r>
        <w:t xml:space="preserve">In Belgium Brussels, Astronomer closed 18 new enterprise contracts worth €1.8M in Q3 alone, exceeding our regional target by 34%. This performance was driven by three key verticals:</w:t>
      </w:r>
    </w:p>
    <w:p>
      <w:pPr>
        <w:numPr>
          <w:ilvl w:val="0"/>
          <w:numId w:val="1001"/>
        </w:numPr>
        <w:pStyle w:val="Compact"/>
      </w:pPr>
      <w:r>
        <w:rPr>
          <w:bCs/>
          <w:b/>
        </w:rPr>
        <w:t xml:space="preserve">Financial Services (62% of revenue):</w:t>
      </w:r>
      <w:r>
        <w:t xml:space="preserve"> </w:t>
      </w:r>
      <w:r>
        <w:t xml:space="preserve">Major banks including BNP Paribas Fortis and KBC Group implemented Astronomer for real-time risk analytics, achieving 300% faster data pipeline deployment.</w:t>
      </w:r>
    </w:p>
    <w:p>
      <w:pPr>
        <w:numPr>
          <w:ilvl w:val="0"/>
          <w:numId w:val="1001"/>
        </w:numPr>
        <w:pStyle w:val="Compact"/>
      </w:pPr>
      <w:r>
        <w:rPr>
          <w:bCs/>
          <w:b/>
        </w:rPr>
        <w:t xml:space="preserve">Public Sector (25%):</w:t>
      </w:r>
      <w:r>
        <w:t xml:space="preserve"> </w:t>
      </w:r>
      <w:r>
        <w:t xml:space="preserve">The Brussels Government Data Platform migrated to Astronomer for GDPR-compliant data processing, handling 12TB of citizen service data daily.</w:t>
      </w:r>
    </w:p>
    <w:p>
      <w:pPr>
        <w:numPr>
          <w:ilvl w:val="0"/>
          <w:numId w:val="1001"/>
        </w:numPr>
        <w:pStyle w:val="Compact"/>
      </w:pPr>
      <w:r>
        <w:rPr>
          <w:bCs/>
          <w:b/>
        </w:rPr>
        <w:t xml:space="preserve">Retail &amp; Logistics (13%):</w:t>
      </w:r>
      <w:r>
        <w:t xml:space="preserve"> </w:t>
      </w:r>
      <w:r>
        <w:t xml:space="preserve">Major distributors like Delhaize leveraged Astronomer's Airflow integration for supply chain optimization.</w:t>
      </w:r>
    </w:p>
    <w:p>
      <w:pPr>
        <w:pStyle w:val="FirstParagraph"/>
      </w:pPr>
      <w:r>
        <w:t xml:space="preserve">Notably, the Belgium Brussels sales team achieved a 92% customer retention rate – significantly above the European average of 81% – demonstrating exceptional solution fit and client satisfaction. The region now accounts for 17% of Astronomer's total European revenue, up from 12% in Q3 2022.</w:t>
      </w:r>
    </w:p>
    <w:bookmarkEnd w:id="21"/>
    <w:bookmarkStart w:id="22" w:name="iii.-belgium-brussels-market-analysis"/>
    <w:p>
      <w:pPr>
        <w:pStyle w:val="Heading2"/>
      </w:pPr>
      <w:r>
        <w:t xml:space="preserve">III. Belgium Brussels Market Analysis</w:t>
      </w:r>
    </w:p>
    <w:p>
      <w:pPr>
        <w:pStyle w:val="FirstParagraph"/>
      </w:pPr>
      <w:r>
        <w:t xml:space="preserve">Brussels serves as the political and economic nerve center of the EU, creating a unique sales landscape where data governance compliance (GDPR, AI Act) is non-negotiable. Our Sales Report identifies three critical market dynamics:</w:t>
      </w:r>
    </w:p>
    <w:p>
      <w:pPr>
        <w:numPr>
          <w:ilvl w:val="0"/>
          <w:numId w:val="1002"/>
        </w:numPr>
        <w:pStyle w:val="Compact"/>
      </w:pPr>
      <w:r>
        <w:rPr>
          <w:bCs/>
          <w:b/>
        </w:rPr>
        <w:t xml:space="preserve">Regulatory Catalyst:</w:t>
      </w:r>
      <w:r>
        <w:t xml:space="preserve"> </w:t>
      </w:r>
      <w:r>
        <w:t xml:space="preserve">The European Data Governance Act (2024) has accelerated Astronomer adoption as Brussels-based enterprises prioritize audit-ready data workflows. 87% of new leads explicitly cited regulatory requirements as their primary decision driver.</w:t>
      </w:r>
    </w:p>
    <w:p>
      <w:pPr>
        <w:numPr>
          <w:ilvl w:val="0"/>
          <w:numId w:val="1002"/>
        </w:numPr>
        <w:pStyle w:val="Compact"/>
      </w:pPr>
      <w:r>
        <w:rPr>
          <w:bCs/>
          <w:b/>
        </w:rPr>
        <w:t xml:space="preserve">Competitive Positioning:</w:t>
      </w:r>
      <w:r>
        <w:t xml:space="preserve"> </w:t>
      </w:r>
      <w:r>
        <w:t xml:space="preserve">While legacy ETL tools dominated the market, Astronomer's open-source foundation (built on Apache Airflow) offers Brussels enterprises future-proof scalability unattainable with proprietary solutions. Our local partner, DataVoyant Belgium, reports a 4:1 customer preference ratio over competitors.</w:t>
      </w:r>
    </w:p>
    <w:p>
      <w:pPr>
        <w:numPr>
          <w:ilvl w:val="0"/>
          <w:numId w:val="1002"/>
        </w:numPr>
        <w:pStyle w:val="Compact"/>
      </w:pPr>
      <w:r>
        <w:rPr>
          <w:bCs/>
          <w:b/>
        </w:rPr>
        <w:t xml:space="preserve">Local Talent Ecosystem:</w:t>
      </w:r>
      <w:r>
        <w:t xml:space="preserve"> </w:t>
      </w:r>
      <w:r>
        <w:t xml:space="preserve">The presence of EU institutions and tech universities has created a dense pool of data engineers familiar with Airflow – a critical advantage for Astronomer implementation. Our Brussels team leveraged this talent pool to reduce deployment timelines by 40%.</w:t>
      </w:r>
    </w:p>
    <w:bookmarkEnd w:id="22"/>
    <w:bookmarkStart w:id="23" w:name="Xd52c818e5db5b42d95eee89f3dfffb22a9e93be"/>
    <w:p>
      <w:pPr>
        <w:pStyle w:val="Heading2"/>
      </w:pPr>
      <w:r>
        <w:t xml:space="preserve">IV. Customer Success Spotlight: Brussels Government Project</w:t>
      </w:r>
    </w:p>
    <w:p>
      <w:pPr>
        <w:pStyle w:val="FirstParagraph"/>
      </w:pPr>
      <w:r>
        <w:t xml:space="preserve">A pivotal case study in our Sales Report involves the City of Brussels' Smart Mobility Initiative. Astronomer was deployed to coordinate data from 1,200 traffic sensors, public transport systems, and weather APIs. The solution reduced data processing latency by 68% while ensuring full GDPR compliance – a requirement for all city IT projects.</w:t>
      </w:r>
    </w:p>
    <w:p>
      <w:pPr>
        <w:pStyle w:val="BodyText"/>
      </w:pPr>
      <w:r>
        <w:rPr>
          <w:iCs/>
          <w:i/>
        </w:rPr>
        <w:t xml:space="preserve">"Astronomer transformed how we manage urban data,"</w:t>
      </w:r>
      <w:r>
        <w:t xml:space="preserve"> </w:t>
      </w:r>
      <w:r>
        <w:t xml:space="preserve">stated Marie Dupont, CDO of Brussels Mobility Agency.</w:t>
      </w:r>
      <w:r>
        <w:t xml:space="preserve"> </w:t>
      </w:r>
      <w:r>
        <w:rPr>
          <w:iCs/>
          <w:i/>
        </w:rPr>
        <w:t xml:space="preserve">"The platform's audit trail capabilities gave us the regulatory confidence we needed to share data across departments – something our previous vendor couldn't provide."</w:t>
      </w:r>
    </w:p>
    <w:p>
      <w:pPr>
        <w:pStyle w:val="BodyText"/>
      </w:pPr>
      <w:r>
        <w:t xml:space="preserve">This project generated €350K in direct revenue and serves as a powerful reference for other public sector sales, with 7 government entities now in active discussions.</w:t>
      </w:r>
    </w:p>
    <w:bookmarkEnd w:id="23"/>
    <w:bookmarkStart w:id="24" w:name="v.-strategic-challenges-solutions"/>
    <w:p>
      <w:pPr>
        <w:pStyle w:val="Heading2"/>
      </w:pPr>
      <w:r>
        <w:t xml:space="preserve">V. Strategic Challenges &amp; Solutions</w:t>
      </w:r>
    </w:p>
    <w:p>
      <w:pPr>
        <w:pStyle w:val="FirstParagraph"/>
      </w:pPr>
      <w:r>
        <w:t xml:space="preserve">Our Sales Report identifies two key challenges unique to Belgium Brussels:</w:t>
      </w:r>
    </w:p>
    <w:p>
      <w:pPr>
        <w:numPr>
          <w:ilvl w:val="0"/>
          <w:numId w:val="1003"/>
        </w:numPr>
        <w:pStyle w:val="Compact"/>
      </w:pPr>
      <w:r>
        <w:rPr>
          <w:bCs/>
          <w:b/>
        </w:rPr>
        <w:t xml:space="preserve">Cultural Nuance:</w:t>
      </w:r>
      <w:r>
        <w:t xml:space="preserve"> </w:t>
      </w:r>
      <w:r>
        <w:t xml:space="preserve">Belgian business culture prioritizes consensus-building. Our sales cycle lengthened by 3 weeks initially due to multistakeholder approval processes. Solution: Implemented localized "co-pilot" sales approach with EU compliance experts embedded in client meetings.</w:t>
      </w:r>
    </w:p>
    <w:p>
      <w:pPr>
        <w:numPr>
          <w:ilvl w:val="0"/>
          <w:numId w:val="1003"/>
        </w:numPr>
        <w:pStyle w:val="Compact"/>
      </w:pPr>
      <w:r>
        <w:rPr>
          <w:bCs/>
          <w:b/>
        </w:rPr>
        <w:t xml:space="preserve">Language Requirements:</w:t>
      </w:r>
      <w:r>
        <w:t xml:space="preserve"> </w:t>
      </w:r>
      <w:r>
        <w:t xml:space="preserve">While English dominates tech, French/Dutch documentation was critical for client adoption. Solution: Partnered with Brussels-based localization agency LinguaTech to deliver full product interface in Dutch (Flemish) and French within 60 days.</w:t>
      </w:r>
    </w:p>
    <w:bookmarkEnd w:id="24"/>
    <w:bookmarkStart w:id="25" w:name="vi.-future-outlook-recommendations"/>
    <w:p>
      <w:pPr>
        <w:pStyle w:val="Heading2"/>
      </w:pPr>
      <w:r>
        <w:t xml:space="preserve">VI. Future Outlook &amp; Recommendations</w:t>
      </w:r>
    </w:p>
    <w:p>
      <w:pPr>
        <w:pStyle w:val="FirstParagraph"/>
      </w:pPr>
      <w:r>
        <w:t xml:space="preserve">The Belgium Brussels market presents a $14M annual opportunity for Astronomer, with our Sales Report projecting 58% CAGR through 2026. We recommend three strategic initiatives:</w:t>
      </w:r>
    </w:p>
    <w:p>
      <w:pPr>
        <w:numPr>
          <w:ilvl w:val="0"/>
          <w:numId w:val="1004"/>
        </w:numPr>
        <w:pStyle w:val="Compact"/>
      </w:pPr>
      <w:r>
        <w:rPr>
          <w:bCs/>
          <w:b/>
        </w:rPr>
        <w:t xml:space="preserve">Establish Local Data Center:</w:t>
      </w:r>
      <w:r>
        <w:t xml:space="preserve"> </w:t>
      </w:r>
      <w:r>
        <w:t xml:space="preserve">Partnering with Equinix Brussels to deploy a dedicated infrastructure node will address EU data sovereignty concerns and reduce latency for enterprise clients.</w:t>
      </w:r>
    </w:p>
    <w:p>
      <w:pPr>
        <w:numPr>
          <w:ilvl w:val="0"/>
          <w:numId w:val="1004"/>
        </w:numPr>
        <w:pStyle w:val="Compact"/>
      </w:pPr>
      <w:r>
        <w:rPr>
          <w:bCs/>
          <w:b/>
        </w:rPr>
        <w:t xml:space="preserve">Create EU Regulatory Advisory Service:</w:t>
      </w:r>
      <w:r>
        <w:t xml:space="preserve"> </w:t>
      </w:r>
      <w:r>
        <w:t xml:space="preserve">Developing a specialized service team (certified in GDPR/DSA compliance) will differentiate Astronomer in the Brussels market where regulatory expertise is paramount.</w:t>
      </w:r>
    </w:p>
    <w:p>
      <w:pPr>
        <w:numPr>
          <w:ilvl w:val="0"/>
          <w:numId w:val="1004"/>
        </w:numPr>
        <w:pStyle w:val="Compact"/>
      </w:pPr>
      <w:r>
        <w:rPr>
          <w:bCs/>
          <w:b/>
        </w:rPr>
        <w:t xml:space="preserve">University Partnership Program:</w:t>
      </w:r>
      <w:r>
        <w:t xml:space="preserve"> </w:t>
      </w:r>
      <w:r>
        <w:t xml:space="preserve">Formalize collaboration with VUB and KU Leuven to create "Astronomer Data Engineering" curriculum, ensuring a pipeline of certified talent for future sales opportunities.</w:t>
      </w:r>
    </w:p>
    <w:bookmarkEnd w:id="25"/>
    <w:bookmarkStart w:id="26" w:name="vii.-conclusion"/>
    <w:p>
      <w:pPr>
        <w:pStyle w:val="Heading2"/>
      </w:pPr>
      <w:r>
        <w:t xml:space="preserve">VII. Conclusion</w:t>
      </w:r>
    </w:p>
    <w:p>
      <w:pPr>
        <w:pStyle w:val="FirstParagraph"/>
      </w:pPr>
      <w:r>
        <w:t xml:space="preserve">The Belgium Brussels market has cemented its position as Astronomer's most strategic European territory. This Sales Report confirms that our solution's alignment with EU data governance frameworks, combined with hyper-localized service delivery, has created unmatched market traction. The Brussels office achieved a 68% win rate against major competitors – a testament to Astronomer's technical superiority and regional adaptation.</w:t>
      </w:r>
    </w:p>
    <w:p>
      <w:pPr>
        <w:pStyle w:val="BodyText"/>
      </w:pPr>
      <w:r>
        <w:t xml:space="preserve">As we look toward 2024, the continued growth in Belgium Brussels will serve as the blueprint for our European expansion. The success of Astronomer in this critical market validates our product strategy while demonstrating how enterprise data solutions must evolve to meet Europe's unique regulatory and cultural landscape. We remain confident that Astronomer will maintain its leadership position as the de facto standard for data orchestration across Belgium Brussels and beyond.</w:t>
      </w:r>
    </w:p>
    <w:p>
      <w:pPr>
        <w:pStyle w:val="BodyText"/>
      </w:pPr>
      <w:r>
        <w:rPr>
          <w:bCs/>
          <w:b/>
        </w:rPr>
        <w:t xml:space="preserve">Appendix A: Q3 2023 Sales Metrics (Belgium Brussels)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Revenue</w:t>
            </w:r>
          </w:p>
        </w:tc>
        <w:tc>
          <w:tcPr/>
          <w:p>
            <w:pPr>
              <w:pStyle w:val="Compact"/>
              <w:jc w:val="left"/>
            </w:pPr>
            <w:r>
              <w:t xml:space="preserve">€1.8M</w:t>
            </w:r>
          </w:p>
        </w:tc>
        <w:tc>
          <w:tcPr/>
          <w:p>
            <w:pPr>
              <w:pStyle w:val="Compact"/>
              <w:jc w:val="left"/>
            </w:pPr>
            <w:r>
              <w:t xml:space="preserve">+47%</w:t>
            </w:r>
          </w:p>
        </w:tc>
      </w:tr>
      <w:tr>
        <w:tc>
          <w:tcPr/>
          <w:p>
            <w:pPr>
              <w:pStyle w:val="Compact"/>
              <w:jc w:val="left"/>
            </w:pPr>
            <w:r>
              <w:t xml:space="preserve">Customer Acquisition Cost (CAC)</w:t>
            </w:r>
          </w:p>
        </w:tc>
        <w:tc>
          <w:tcPr/>
          <w:p>
            <w:pPr>
              <w:pStyle w:val="Compact"/>
              <w:jc w:val="left"/>
            </w:pPr>
            <w:r>
              <w:t xml:space="preserve">€28,500</w:t>
            </w:r>
          </w:p>
        </w:tc>
        <w:tc>
          <w:tcPr/>
          <w:p>
            <w:pPr>
              <w:pStyle w:val="Compact"/>
              <w:jc w:val="left"/>
            </w:pPr>
            <w:r>
              <w:t xml:space="preserve">-12%</w:t>
            </w:r>
          </w:p>
        </w:tc>
      </w:tr>
      <w:tr>
        <w:tc>
          <w:tcPr/>
          <w:p>
            <w:pPr>
              <w:pStyle w:val="Compact"/>
              <w:jc w:val="left"/>
            </w:pPr>
            <w:r>
              <w:t xml:space="preserve">Net Revenue Retention</w:t>
            </w:r>
          </w:p>
        </w:tc>
        <w:tc>
          <w:tcPr/>
          <w:p>
            <w:pPr>
              <w:pStyle w:val="Compact"/>
              <w:jc w:val="left"/>
            </w:pPr>
            <w:r>
              <w:t xml:space="preserve">92%</w:t>
            </w:r>
          </w:p>
        </w:tc>
        <w:tc>
          <w:tcPr/>
          <w:p>
            <w:pPr>
              <w:pStyle w:val="Compact"/>
              <w:jc w:val="left"/>
            </w:pPr>
            <w:r>
              <w:t xml:space="preserve">+14 pts</w:t>
            </w:r>
          </w:p>
        </w:tc>
      </w:tr>
      <w:tr>
        <w:tc>
          <w:tcPr/>
          <w:p>
            <w:pPr>
              <w:pStyle w:val="Compact"/>
              <w:jc w:val="left"/>
            </w:pPr>
            <w:r>
              <w:t xml:space="preserve">Largest Deal Size</w:t>
            </w:r>
          </w:p>
        </w:tc>
        <w:tc>
          <w:tcPr/>
          <w:p>
            <w:pPr>
              <w:pStyle w:val="Compact"/>
              <w:jc w:val="left"/>
            </w:pPr>
            <w:r>
              <w:t xml:space="preserve">€485K (3-year)</w:t>
            </w:r>
          </w:p>
        </w:tc>
        <w:tc>
          <w:tcPr/>
          <w:p>
            <w:pPr>
              <w:pStyle w:val="Compact"/>
              <w:jc w:val="left"/>
            </w:pPr>
            <w:r>
              <w:t xml:space="preserve">-</w:t>
            </w:r>
          </w:p>
        </w:tc>
      </w:tr>
    </w:tbl>
    <w:p>
      <w:pPr>
        <w:pStyle w:val="BodyText"/>
      </w:pPr>
      <w:r>
        <w:rPr>
          <w:iCs/>
          <w:i/>
        </w:rPr>
        <w:t xml:space="preserve">Astronomer, Belgium Brussels Sales Team • 10 Avenue de la Toison d'Or, 1000 Brussels • www.astronomer.io/eu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Belgium Brussels Market Analysis</dc:title>
  <dc:creator/>
  <dc:language>en</dc:language>
  <cp:keywords/>
  <dcterms:created xsi:type="dcterms:W3CDTF">2026-07-23T17:14:54Z</dcterms:created>
  <dcterms:modified xsi:type="dcterms:W3CDTF">2026-07-23T17:14:54Z</dcterms:modified>
</cp:coreProperties>
</file>

<file path=docProps/custom.xml><?xml version="1.0" encoding="utf-8"?>
<Properties xmlns="http://schemas.openxmlformats.org/officeDocument/2006/custom-properties" xmlns:vt="http://schemas.openxmlformats.org/officeDocument/2006/docPropsVTypes"/>
</file>