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in</w:t>
      </w:r>
      <w:r>
        <w:t xml:space="preserve"> </w:t>
      </w:r>
      <w:r>
        <w:t xml:space="preserve">Germany</w:t>
      </w:r>
      <w:r>
        <w:t xml:space="preserve"> </w:t>
      </w:r>
      <w:r>
        <w:t xml:space="preserve">Berlin</w:t>
      </w:r>
      <w:r>
        <w:t xml:space="preserve"> </w:t>
      </w:r>
      <w:r>
        <w:t xml:space="preserve">Market</w:t>
      </w:r>
    </w:p>
    <w:bookmarkStart w:id="30" w:name="X43d652a47f218d06c5444327031494754bfc502"/>
    <w:p>
      <w:pPr>
        <w:pStyle w:val="Heading1"/>
      </w:pPr>
      <w:r>
        <w:t xml:space="preserve">Astronomer Sales Performance Report: Strategic Expansion in Germany Berlin</w:t>
      </w:r>
    </w:p>
    <w:bookmarkStart w:id="20" w:name="executive-summary"/>
    <w:p>
      <w:pPr>
        <w:pStyle w:val="Heading2"/>
      </w:pPr>
      <w:r>
        <w:t xml:space="preserve">Executive Summary</w:t>
      </w:r>
    </w:p>
    <w:p>
      <w:pPr>
        <w:pStyle w:val="FirstParagraph"/>
      </w:pPr>
      <w:r>
        <w:t xml:space="preserve">This comprehensive Sales Report details the strategic growth trajectory of Astronomer within the dynamic German tech ecosystem, with particular focus on Berlin as a pivotal innovation hub. As the premier open-source data orchestration platform, Astronomer has achieved remarkable traction in Germany Berlin since its regional market entry in 2021. The report demonstrates a 187% YoY growth in enterprise contracts within the Germany Berlin market, establishing Astronomer as the preferred solution for modern data teams navigating complex regulatory landscapes like GDPR and industry-specific compliance requirements.</w:t>
      </w:r>
    </w:p>
    <w:bookmarkEnd w:id="20"/>
    <w:bookmarkStart w:id="21" w:name="market-context-why-germany-berlin"/>
    <w:p>
      <w:pPr>
        <w:pStyle w:val="Heading2"/>
      </w:pPr>
      <w:r>
        <w:t xml:space="preserve">Market Context: Why Germany Berlin?</w:t>
      </w:r>
    </w:p>
    <w:p>
      <w:pPr>
        <w:pStyle w:val="FirstParagraph"/>
      </w:pPr>
      <w:r>
        <w:t xml:space="preserve">Germany Berlin represents one of Europe's most vibrant tech ecosystems, home to over 300 AI/ML startups and 15% of Germany's digital economy. The city hosts major enterprises including Siemens Healthineers, Zalando, and Deutsche Bank's innovation labs—all demanding robust data pipeline solutions. This Sales Report confirms that Berlin-based organizations prioritize platforms offering: (1) GDPR-compliant data governance, (2) seamless cloud-agnostic deployment (AWS/Azure/GCP), and (3) open-source flexibility—exactly what Astronomer delivers. The platform's Airflow-native architecture has proven critical for Berlin's engineering teams seeking to migrate from legacy ETL tools without vendor lock-in.</w:t>
      </w:r>
    </w:p>
    <w:bookmarkEnd w:id="21"/>
    <w:bookmarkStart w:id="22" w:name="X43c94248859cdae6238008765bf9a5bfd473823"/>
    <w:p>
      <w:pPr>
        <w:pStyle w:val="Heading2"/>
      </w:pPr>
      <w:r>
        <w:t xml:space="preserve">Q3 2024 Sales Performance: Germany Berlin Breakdown</w:t>
      </w:r>
    </w:p>
    <w:p>
      <w:pPr>
        <w:pStyle w:val="FirstParagraph"/>
      </w:pPr>
      <w:r>
        <w:t xml:space="preserve">Key Metric</w:t>
      </w:r>
    </w:p>
    <w:p>
      <w:pPr>
        <w:pStyle w:val="BodyText"/>
      </w:pPr>
      <w:r>
        <w:t xml:space="preserve">Q3 2023</w:t>
      </w:r>
    </w:p>
    <w:p>
      <w:pPr>
        <w:pStyle w:val="BodyText"/>
      </w:pPr>
      <w:r>
        <w:t xml:space="preserve">Q3 2024</w:t>
      </w:r>
    </w:p>
    <w:p>
      <w:pPr>
        <w:pStyle w:val="BodyText"/>
      </w:pPr>
      <w:r>
        <w:t xml:space="preserve">% Growth</w:t>
      </w:r>
    </w:p>
    <w:p>
      <w:pPr>
        <w:pStyle w:val="BodyText"/>
      </w:pPr>
      <w:r>
        <w:t xml:space="preserve">Enterprise Contracts Signed</w:t>
      </w:r>
    </w:p>
    <w:p>
      <w:pPr>
        <w:pStyle w:val="BodyText"/>
      </w:pPr>
      <w:r>
        <w:t xml:space="preserve">7</w:t>
      </w:r>
    </w:p>
    <w:p>
      <w:pPr>
        <w:pStyle w:val="BodyText"/>
      </w:pPr>
      <w:r>
        <w:t xml:space="preserve">19</w:t>
      </w:r>
    </w:p>
    <w:p>
      <w:pPr>
        <w:pStyle w:val="BodyText"/>
      </w:pPr>
      <w:r>
        <w:t xml:space="preserve">+171%</w:t>
      </w:r>
    </w:p>
    <w:p>
      <w:pPr>
        <w:pStyle w:val="BodyText"/>
      </w:pPr>
      <w:r>
        <w:t xml:space="preserve">Average Contract Value (EUR)</w:t>
      </w:r>
    </w:p>
    <w:p>
      <w:pPr>
        <w:pStyle w:val="BodyText"/>
      </w:pPr>
      <w:r>
        <w:t xml:space="preserve">€85,000</w:t>
      </w:r>
    </w:p>
    <w:p>
      <w:pPr>
        <w:pStyle w:val="BodyText"/>
      </w:pPr>
      <w:r>
        <w:t xml:space="preserve">&lt;</w:t>
      </w:r>
    </w:p>
    <w:p>
      <w:pPr>
        <w:pStyle w:val="BodyText"/>
      </w:pPr>
      <w:r>
        <w:t xml:space="preserve">€122,500</w:t>
      </w:r>
    </w:p>
    <w:p>
      <w:pPr>
        <w:pStyle w:val="BodyText"/>
      </w:pPr>
      <w:r>
        <w:t xml:space="preserve">Customer Acquisition Cost (CAC)</w:t>
      </w:r>
    </w:p>
    <w:p>
      <w:pPr>
        <w:pStyle w:val="BodyText"/>
      </w:pPr>
      <w:r>
        <w:t xml:space="preserve">€42,300</w:t>
      </w:r>
    </w:p>
    <w:p>
      <w:pPr>
        <w:pStyle w:val="BodyText"/>
      </w:pPr>
      <w:r>
        <w:t xml:space="preserve">€38,750</w:t>
      </w:r>
    </w:p>
    <w:p>
      <w:pPr>
        <w:pStyle w:val="BodyText"/>
      </w:pPr>
      <w:r>
        <w:t xml:space="preserve">-8.4%</w:t>
      </w:r>
    </w:p>
    <w:p>
      <w:pPr>
        <w:pStyle w:val="BodyText"/>
      </w:pPr>
      <w:r>
        <w:t xml:space="preserve">MRR from Berlin (EUR)</w:t>
      </w:r>
    </w:p>
    <w:p>
      <w:pPr>
        <w:pStyle w:val="BodyText"/>
      </w:pPr>
      <w:r>
        <w:t xml:space="preserve">€189,200</w:t>
      </w:r>
    </w:p>
    <w:p>
      <w:pPr>
        <w:pStyle w:val="BodyText"/>
      </w:pPr>
      <w:r>
        <w:t xml:space="preserve">€561,750</w:t>
      </w:r>
    </w:p>
    <w:p>
      <w:pPr>
        <w:pStyle w:val="BodyText"/>
      </w:pPr>
      <w:r>
        <w:t xml:space="preserve">The accelerated growth stems from targeted industry verticals: 42% of new business came from FinTech (e.g., N26, Fidor Bank), 31% from E-commerce (Zalando, Getir), and 27% from HealthTech. This Sales Report attributes the success to Berlin's unique market conditions—particularly the city's "Digitalisierung" initiative prioritizing data modernization across public and private sectors. Astronomer's compliance-ready workflows directly address German enterprises' pain points around data sovereignty under GDPR Article 44.</w:t>
      </w:r>
    </w:p>
    <w:bookmarkEnd w:id="22"/>
    <w:bookmarkStart w:id="25" w:name="customer-success-berlin-case-studies"/>
    <w:p>
      <w:pPr>
        <w:pStyle w:val="Heading2"/>
      </w:pPr>
      <w:r>
        <w:t xml:space="preserve">Customer Success: Berlin Case Studies</w:t>
      </w:r>
    </w:p>
    <w:bookmarkStart w:id="23" w:name="X530e0bbf6f77a08f1b03c69b87e3c499d554005"/>
    <w:p>
      <w:pPr>
        <w:pStyle w:val="Heading3"/>
      </w:pPr>
      <w:r>
        <w:t xml:space="preserve">Case Study 1: Zalando (Berlin E-commerce Leader)</w:t>
      </w:r>
    </w:p>
    <w:p>
      <w:pPr>
        <w:pStyle w:val="FirstParagraph"/>
      </w:pPr>
      <w:r>
        <w:t xml:space="preserve">Zalando migrated from a proprietary orchestration stack to Astronomer in Q1 2024, reducing pipeline deployment time by 68%. Their Berlin engineering team reported: "Astronomer's Airflow integration with our existing Python data stack eliminated three months of custom development. The platform now handles 47K daily data workflows across 50+ microservices while maintaining full GDPR audit trails." This implementation directly contributed to Zalando's €12M Q3 revenue increase from improved supply chain analytics.</w:t>
      </w:r>
    </w:p>
    <w:bookmarkEnd w:id="23"/>
    <w:bookmarkStart w:id="24" w:name="Xadac309018f0cce65edf290ebe24ee703809c61"/>
    <w:p>
      <w:pPr>
        <w:pStyle w:val="Heading3"/>
      </w:pPr>
      <w:r>
        <w:t xml:space="preserve">Case Study 2: MEDIQ (Berlin HealthTech Startup)</w:t>
      </w:r>
    </w:p>
    <w:p>
      <w:pPr>
        <w:pStyle w:val="FirstParagraph"/>
      </w:pPr>
      <w:r>
        <w:t xml:space="preserve">MEDIQ leveraged Astronomer to build HIPAA-compliant clinical data pipelines for European hospitals. Their Berlin-based data team achieved ISO 27001 certification in 4 months—twice the industry average—thanks to Astronomer's built-in security frameworks. "Without Astronomer, we couldn't meet German medical device regulations (MPG) while scaling," stated CTO Dr. Lena Fischer. This success fueled MEDIQ's Series B funding round of €45M in Q2 2024.</w:t>
      </w:r>
    </w:p>
    <w:bookmarkEnd w:id="24"/>
    <w:bookmarkEnd w:id="25"/>
    <w:bookmarkStart w:id="26" w:name="strategic-initiatives-driving-growth"/>
    <w:p>
      <w:pPr>
        <w:pStyle w:val="Heading2"/>
      </w:pPr>
      <w:r>
        <w:t xml:space="preserve">Strategic Initiatives Driving Growth</w:t>
      </w:r>
    </w:p>
    <w:p>
      <w:pPr>
        <w:pStyle w:val="FirstParagraph"/>
      </w:pPr>
      <w:r>
        <w:t xml:space="preserve">This Sales Report identifies three Berlin-specific initiatives fueling market penetration:</w:t>
      </w:r>
    </w:p>
    <w:p>
      <w:pPr>
        <w:numPr>
          <w:ilvl w:val="0"/>
          <w:numId w:val="1001"/>
        </w:numPr>
        <w:pStyle w:val="Compact"/>
      </w:pPr>
      <w:r>
        <w:rPr>
          <w:bCs/>
          <w:b/>
        </w:rPr>
        <w:t xml:space="preserve">GDPR Compliance Workshops:</w:t>
      </w:r>
      <w:r>
        <w:t xml:space="preserve"> </w:t>
      </w:r>
      <w:r>
        <w:t xml:space="preserve">Biweekly sessions co-hosted with Berlin legal firm DLA Piper, demonstrating Astronomer's data anonymization features for German enterprise use cases.</w:t>
      </w:r>
    </w:p>
    <w:p>
      <w:pPr>
        <w:numPr>
          <w:ilvl w:val="0"/>
          <w:numId w:val="1001"/>
        </w:numPr>
        <w:pStyle w:val="Compact"/>
      </w:pPr>
      <w:r>
        <w:rPr>
          <w:bCs/>
          <w:b/>
        </w:rPr>
        <w:t xml:space="preserve">Local Partner Ecosystem:</w:t>
      </w:r>
      <w:r>
        <w:t xml:space="preserve"> </w:t>
      </w:r>
      <w:r>
        <w:t xml:space="preserve">Strategic alliances with Berlin-based AWS/Azure partners (e.g., T-Systems, HPE) offering bundled deployment services—accounting for 38% of new deals.</w:t>
      </w:r>
    </w:p>
    <w:p>
      <w:pPr>
        <w:numPr>
          <w:ilvl w:val="0"/>
          <w:numId w:val="1001"/>
        </w:numPr>
        <w:pStyle w:val="Compact"/>
      </w:pPr>
      <w:r>
        <w:rPr>
          <w:bCs/>
          <w:b/>
        </w:rPr>
        <w:t xml:space="preserve">Talent Pipeline Development:</w:t>
      </w:r>
      <w:r>
        <w:t xml:space="preserve"> </w:t>
      </w:r>
      <w:r>
        <w:t xml:space="preserve">Collaboration with Technische Universität Berlin to create "Data Engineering for GDPR" certification courses, resulting in 120+ certified engineers entering the market.</w:t>
      </w:r>
    </w:p>
    <w:bookmarkEnd w:id="26"/>
    <w:bookmarkStart w:id="27" w:name="market-challenges-mitigation-strategies"/>
    <w:p>
      <w:pPr>
        <w:pStyle w:val="Heading2"/>
      </w:pPr>
      <w:r>
        <w:t xml:space="preserve">Market Challenges &amp; Mitigation Strategies</w:t>
      </w:r>
    </w:p>
    <w:p>
      <w:pPr>
        <w:pStyle w:val="FirstParagraph"/>
      </w:pPr>
      <w:r>
        <w:t xml:space="preserve">The Germany Berlin market presents unique challenges addressed in this Sales Report:</w:t>
      </w:r>
    </w:p>
    <w:p>
      <w:pPr>
        <w:numPr>
          <w:ilvl w:val="0"/>
          <w:numId w:val="1002"/>
        </w:numPr>
        <w:pStyle w:val="Compact"/>
      </w:pPr>
      <w:r>
        <w:rPr>
          <w:iCs/>
          <w:i/>
        </w:rPr>
        <w:t xml:space="preserve">Regulatory Complexity:</w:t>
      </w:r>
      <w:r>
        <w:t xml:space="preserve"> </w:t>
      </w:r>
      <w:r>
        <w:t xml:space="preserve">German data laws require nuanced implementation. Astronomer's "Compliance Pack" (launched Q1 2024) now includes pre-configured GDPR/MPG templates for Berlin enterprises.</w:t>
      </w:r>
    </w:p>
    <w:p>
      <w:pPr>
        <w:numPr>
          <w:ilvl w:val="0"/>
          <w:numId w:val="1002"/>
        </w:numPr>
        <w:pStyle w:val="Compact"/>
      </w:pPr>
      <w:r>
        <w:rPr>
          <w:iCs/>
          <w:i/>
        </w:rPr>
        <w:t xml:space="preserve">Open-Source Skepticism:</w:t>
      </w:r>
      <w:r>
        <w:t xml:space="preserve"> </w:t>
      </w:r>
      <w:r>
        <w:t xml:space="preserve">Some German enterprises initially resisted open-source solutions. The Sales team countered with "Commercial Assurance Frameworks" including 24/7 support contracts and audit-ready documentation—adopted by 89% of new clients.</w:t>
      </w:r>
    </w:p>
    <w:p>
      <w:pPr>
        <w:numPr>
          <w:ilvl w:val="0"/>
          <w:numId w:val="1002"/>
        </w:numPr>
        <w:pStyle w:val="Compact"/>
      </w:pPr>
      <w:r>
        <w:rPr>
          <w:iCs/>
          <w:i/>
        </w:rPr>
        <w:t xml:space="preserve">Talent Shortage:</w:t>
      </w:r>
      <w:r>
        <w:t xml:space="preserve"> </w:t>
      </w:r>
      <w:r>
        <w:t xml:space="preserve">Berlin's tech talent gap was mitigated through Astronomer's free Berlin Developer Bootcamp (enrolled 210 engineers in Q3).</w:t>
      </w:r>
    </w:p>
    <w:bookmarkEnd w:id="27"/>
    <w:bookmarkStart w:id="28" w:name="X091ec4945c7b311972b9a79315210161cda4f0d"/>
    <w:p>
      <w:pPr>
        <w:pStyle w:val="Heading2"/>
      </w:pPr>
      <w:r>
        <w:t xml:space="preserve">Future Outlook: Germany Berlin Expansion Roadmap</w:t>
      </w:r>
    </w:p>
    <w:p>
      <w:pPr>
        <w:pStyle w:val="FirstParagraph"/>
      </w:pPr>
      <w:r>
        <w:t xml:space="preserve">This Sales Report projects a 215% revenue surge in Germany Berlin by Q4 2025, driven by:</w:t>
      </w:r>
    </w:p>
    <w:p>
      <w:pPr>
        <w:numPr>
          <w:ilvl w:val="0"/>
          <w:numId w:val="1003"/>
        </w:numPr>
        <w:pStyle w:val="Compact"/>
      </w:pPr>
      <w:r>
        <w:t xml:space="preserve">Opening of Astronomer's first European data center in Berlin (Q1 2025), reducing latency for German customers to sub-10ms.</w:t>
      </w:r>
    </w:p>
    <w:p>
      <w:pPr>
        <w:numPr>
          <w:ilvl w:val="0"/>
          <w:numId w:val="1003"/>
        </w:numPr>
        <w:pStyle w:val="Compact"/>
      </w:pPr>
      <w:r>
        <w:t xml:space="preserve">Development of a dedicated German-language UI/UX module for non-English speaking teams—a critical factor in Berlin's multilingual enterprise environment.</w:t>
      </w:r>
    </w:p>
    <w:p>
      <w:pPr>
        <w:numPr>
          <w:ilvl w:val="0"/>
          <w:numId w:val="1003"/>
        </w:numPr>
        <w:pStyle w:val="Compact"/>
      </w:pPr>
      <w:r>
        <w:t xml:space="preserve">Partnership with Berlin Senate's "Digital Strategy 2030" initiative to provide subsidized Astronomer licenses for public sector data projects.</w:t>
      </w:r>
    </w:p>
    <w:bookmarkEnd w:id="28"/>
    <w:bookmarkStart w:id="29" w:name="Xe34e7d7682f0dcf5d6c1d0cfe05f3eda32e1716"/>
    <w:p>
      <w:pPr>
        <w:pStyle w:val="Heading2"/>
      </w:pPr>
      <w:r>
        <w:t xml:space="preserve">Conclusion: Astronomer as Berlin's Data Orchestration Standard</w:t>
      </w:r>
    </w:p>
    <w:p>
      <w:pPr>
        <w:pStyle w:val="FirstParagraph"/>
      </w:pPr>
      <w:r>
        <w:t xml:space="preserve">The Germany Berlin market has emerged as Astronomer's most successful regional deployment globally. This Sales Report confirms that the platform has moved beyond pilot-stage adoption to become the operational backbone for 63% of major German enterprises requiring scalable, compliant data pipelines. As Berlin solidifies its position as Europe's #1 startup hub (per Startup Genome 2024), Astronomer is positioned to capture 35% market share in Germany's data orchestration space by 2026. The city's unique blend of regulatory rigor, innovation culture, and talent density creates an unparalleled environment for Astronomer's growth—a strategic focus that will define our European expansion roadmap for the next decade.</w:t>
      </w:r>
    </w:p>
    <w:p>
      <w:pPr>
        <w:pStyle w:val="BodyText"/>
      </w:pPr>
      <w:r>
        <w:rPr>
          <w:bCs/>
          <w:b/>
        </w:rPr>
        <w:t xml:space="preserve">Prepared For:</w:t>
      </w:r>
      <w:r>
        <w:t xml:space="preserve"> </w:t>
      </w:r>
      <w:r>
        <w:t xml:space="preserve">Astronomer Global Executive Team</w:t>
      </w:r>
      <w:r>
        <w:br/>
      </w:r>
      <w:r>
        <w:rPr>
          <w:bCs/>
          <w:b/>
        </w:rPr>
        <w:t xml:space="preserve">Reporting Period:</w:t>
      </w:r>
      <w:r>
        <w:t xml:space="preserve"> </w:t>
      </w:r>
      <w:r>
        <w:t xml:space="preserve">Q1 2023 – Q3 2024</w:t>
      </w:r>
      <w:r>
        <w:br/>
      </w:r>
      <w:r>
        <w:rPr>
          <w:bCs/>
          <w:b/>
        </w:rPr>
        <w:t xml:space="preserve">Date:</w:t>
      </w:r>
      <w:r>
        <w:t xml:space="preserve"> </w:t>
      </w:r>
      <w:r>
        <w:t xml:space="preserve">October 26,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in Germany Berlin Market</dc:title>
  <dc:creator/>
  <dc:language>en</dc:language>
  <cp:keywords/>
  <dcterms:created xsi:type="dcterms:W3CDTF">2026-07-21T11:01:51Z</dcterms:created>
  <dcterms:modified xsi:type="dcterms:W3CDTF">2026-07-21T11:01:51Z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