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Platform</w:t>
      </w:r>
      <w:r>
        <w:t xml:space="preserve"> </w:t>
      </w:r>
      <w:r>
        <w:t xml:space="preserve">in</w:t>
      </w:r>
      <w:r>
        <w:t xml:space="preserve"> </w:t>
      </w:r>
      <w:r>
        <w:t xml:space="preserve">Iran</w:t>
      </w:r>
      <w:r>
        <w:t xml:space="preserve"> </w:t>
      </w:r>
      <w:r>
        <w:t xml:space="preserve">Tehran</w:t>
      </w:r>
      <w:r>
        <w:t xml:space="preserve"> </w:t>
      </w:r>
      <w:r>
        <w:t xml:space="preserve">Market</w:t>
      </w:r>
    </w:p>
    <w:bookmarkStart w:id="27" w:name="X7941e1d9e29e9d84c1a6b2021ade7a664e19583"/>
    <w:p>
      <w:pPr>
        <w:pStyle w:val="Heading1"/>
      </w:pPr>
      <w:r>
        <w:t xml:space="preserve">Sales Report for Astronomer Platform in Iran Tehran Market</w:t>
      </w:r>
    </w:p>
    <w:p>
      <w:pPr>
        <w:pStyle w:val="FirstParagraph"/>
      </w:pPr>
      <w:r>
        <w:t xml:space="preserve">Prepared for Global Leadership Team | Q3 2023 | Confidential</w:t>
      </w:r>
    </w:p>
    <w:bookmarkStart w:id="20" w:name="executive-summary"/>
    <w:p>
      <w:pPr>
        <w:pStyle w:val="Heading2"/>
      </w:pPr>
      <w:r>
        <w:t xml:space="preserve">Executive Summary</w:t>
      </w:r>
    </w:p>
    <w:p>
      <w:pPr>
        <w:pStyle w:val="FirstParagraph"/>
      </w:pPr>
      <w:r>
        <w:t xml:space="preserve">This Sales Report details the strategic adoption and commercial performance of the Astronomer platform within Iran's technology ecosystem, with particular focus on Tehran as the primary market hub. Following successful pilot deployments in Q1 2023, Astronomer has established itself as a critical infrastructure solution for data-driven enterprises across Tehran's financial services, e-commerce, and manufacturing sectors. The platform has achieved</w:t>
      </w:r>
      <w:r>
        <w:t xml:space="preserve"> </w:t>
      </w:r>
      <w:r>
        <w:rPr>
          <w:bCs/>
          <w:b/>
        </w:rPr>
        <w:t xml:space="preserve">147% YoY growth</w:t>
      </w:r>
      <w:r>
        <w:t xml:space="preserve"> </w:t>
      </w:r>
      <w:r>
        <w:t xml:space="preserve">in Iran Tehran sales volume since initial market entry, demonstrating strong alignment with local digital transformation priorities.</w:t>
      </w:r>
    </w:p>
    <w:bookmarkEnd w:id="20"/>
    <w:bookmarkStart w:id="21" w:name="Xfbaf8734d79777d83c035e8937d266a3658e406"/>
    <w:p>
      <w:pPr>
        <w:pStyle w:val="Heading2"/>
      </w:pPr>
      <w:r>
        <w:t xml:space="preserve">Market Context: Iran Tehran's Digital Transformation Landscape</w:t>
      </w:r>
    </w:p>
    <w:p>
      <w:pPr>
        <w:pStyle w:val="FirstParagraph"/>
      </w:pPr>
      <w:r>
        <w:t xml:space="preserve">Tehran has emerged as the epicenter of Iran's digital economy, housing 68% of the nation's tech startups and 15 major financial institutions. With the Iranian government prioritizing data sovereignty through new cybersecurity regulations (Decree No. 47/2022), enterprises in Tehran face urgent pressure to modernize legacy data infrastructure. The Astronomer platform directly addresses this need by providing an open-source, cloud-agnostic orchestration solution that meets local compliance requirements while reducing operational costs by up to 35%.</w:t>
      </w:r>
    </w:p>
    <w:p>
      <w:pPr>
        <w:pStyle w:val="BodyText"/>
      </w:pPr>
      <w:r>
        <w:t xml:space="preserve">Our market research indicates that 82% of Tehran-based enterprises cited "inability to manage complex data pipelines" as their primary digital bottleneck. The Astronomer Sales Team has successfully positioned the platform as the solution through tailored demonstrations at key events including the Tehran International Data Summit and Iran Tech Week 2023.</w:t>
      </w:r>
    </w:p>
    <w:bookmarkEnd w:id="21"/>
    <w:bookmarkStart w:id="22" w:name="X249b81b44cdd2dea24c5155e589539cf06c757c"/>
    <w:p>
      <w:pPr>
        <w:pStyle w:val="Heading2"/>
      </w:pPr>
      <w:r>
        <w:t xml:space="preserve">Sales Performance Highlights (Tehran Focus)</w:t>
      </w:r>
    </w:p>
    <w:p>
      <w:pPr>
        <w:pStyle w:val="FirstParagraph"/>
      </w:pPr>
      <w:r>
        <w:t xml:space="preserve">Quarter</w:t>
      </w:r>
    </w:p>
    <w:p>
      <w:pPr>
        <w:pStyle w:val="BodyText"/>
      </w:pPr>
      <w:r>
        <w:t xml:space="preserve">Revenue (USD)</w:t>
      </w:r>
    </w:p>
    <w:p>
      <w:pPr>
        <w:pStyle w:val="BodyText"/>
      </w:pPr>
      <w:r>
        <w:t xml:space="preserve">New Clients (Tehran)</w:t>
      </w:r>
    </w:p>
    <w:p>
      <w:pPr>
        <w:pStyle w:val="BodyText"/>
      </w:pPr>
      <w:r>
        <w:t xml:space="preserve">Key Verticals</w:t>
      </w:r>
    </w:p>
    <w:p>
      <w:pPr>
        <w:pStyle w:val="BodyText"/>
      </w:pPr>
      <w:r>
        <w:t xml:space="preserve">Growth vs Previous Qtr</w:t>
      </w:r>
    </w:p>
    <w:p>
      <w:pPr>
        <w:pStyle w:val="BodyText"/>
      </w:pPr>
      <w:r>
        <w:t xml:space="preserve">Q1 2023</w:t>
      </w:r>
    </w:p>
    <w:p>
      <w:pPr>
        <w:pStyle w:val="BodyText"/>
      </w:pPr>
      <w:r>
        <w:t xml:space="preserve">$42,500</w:t>
      </w:r>
    </w:p>
    <w:p>
      <w:pPr>
        <w:pStyle w:val="BodyText"/>
      </w:pPr>
      <w:r>
        <w:t xml:space="preserve">7</w:t>
      </w:r>
    </w:p>
    <w:p>
      <w:pPr>
        <w:pStyle w:val="BodyText"/>
      </w:pPr>
      <w:r>
        <w:t xml:space="preserve">Banking (4), E-commerce (3)</w:t>
      </w:r>
    </w:p>
    <w:p>
      <w:pPr>
        <w:pStyle w:val="BodyText"/>
      </w:pPr>
      <w:r>
        <w:t xml:space="preserve">-</w:t>
      </w:r>
    </w:p>
    <w:p>
      <w:pPr>
        <w:pStyle w:val="BodyText"/>
      </w:pPr>
      <w:r>
        <w:t xml:space="preserve">Q2 2023</w:t>
      </w:r>
    </w:p>
    <w:p>
      <w:pPr>
        <w:pStyle w:val="BodyText"/>
      </w:pPr>
      <w:r>
        <w:t xml:space="preserve">$68,900</w:t>
      </w:r>
    </w:p>
    <w:p>
      <w:pPr>
        <w:pStyle w:val="BodyText"/>
      </w:pPr>
      <w:r>
        <w:t xml:space="preserve">14</w:t>
      </w:r>
    </w:p>
    <w:p>
      <w:pPr>
        <w:pStyle w:val="BodyText"/>
      </w:pPr>
      <w:r>
        <w:t xml:space="preserve">Banking (5), Manufacturing (4), Healthcare (3)</w:t>
      </w:r>
    </w:p>
    <w:p>
      <w:pPr>
        <w:pStyle w:val="BodyText"/>
      </w:pPr>
      <w:r>
        <w:t xml:space="preserve">+61.7%</w:t>
      </w:r>
    </w:p>
    <w:p>
      <w:pPr>
        <w:pStyle w:val="BodyText"/>
      </w:pPr>
      <w:r>
        <w:t xml:space="preserve">Q3 2023</w:t>
      </w:r>
    </w:p>
    <w:p>
      <w:pPr>
        <w:pStyle w:val="BodyText"/>
      </w:pPr>
      <w:r>
        <w:t xml:space="preserve">$105,400</w:t>
      </w:r>
    </w:p>
    <w:p>
      <w:pPr>
        <w:pStyle w:val="BodyText"/>
      </w:pPr>
      <w:r>
        <w:t xml:space="preserve">28</w:t>
      </w:r>
    </w:p>
    <w:p>
      <w:pPr>
        <w:pStyle w:val="BodyText"/>
      </w:pPr>
      <w:r>
        <w:t xml:space="preserve">All major sectors including Government Data Centers (Tehran)</w:t>
      </w:r>
    </w:p>
    <w:p>
      <w:pPr>
        <w:pStyle w:val="BodyText"/>
      </w:pPr>
      <w:r>
        <w:t xml:space="preserve">+53.0%</w:t>
      </w:r>
    </w:p>
    <w:p>
      <w:pPr>
        <w:pStyle w:val="BodyText"/>
      </w:pPr>
      <w:r>
        <w:t xml:space="preserve">Notable success stories include:</w:t>
      </w:r>
    </w:p>
    <w:p>
      <w:pPr>
        <w:numPr>
          <w:ilvl w:val="0"/>
          <w:numId w:val="1001"/>
        </w:numPr>
        <w:pStyle w:val="Compact"/>
      </w:pPr>
      <w:r>
        <w:rPr>
          <w:bCs/>
          <w:b/>
        </w:rPr>
        <w:t xml:space="preserve">Tejarat Bank Tehran</w:t>
      </w:r>
      <w:r>
        <w:t xml:space="preserve">: Implemented Astronomer to unify 37 legacy data pipelines, reducing ETL runtime by 68% and saving $210k annually in infrastructure costs.</w:t>
      </w:r>
    </w:p>
    <w:p>
      <w:pPr>
        <w:numPr>
          <w:ilvl w:val="0"/>
          <w:numId w:val="1001"/>
        </w:numPr>
        <w:pStyle w:val="Compact"/>
      </w:pPr>
      <w:r>
        <w:rPr>
          <w:bCs/>
          <w:b/>
        </w:rPr>
        <w:t xml:space="preserve">Parsian Online Retail</w:t>
      </w:r>
      <w:r>
        <w:t xml:space="preserve">: Achieved 200% faster product catalog updates during Nowruz sales campaign using Astronomer's workflow automation.</w:t>
      </w:r>
    </w:p>
    <w:p>
      <w:pPr>
        <w:numPr>
          <w:ilvl w:val="0"/>
          <w:numId w:val="1001"/>
        </w:numPr>
        <w:pStyle w:val="Compact"/>
      </w:pPr>
      <w:r>
        <w:rPr>
          <w:bCs/>
          <w:b/>
        </w:rPr>
        <w:t xml:space="preserve">Tehran Medical Network</w:t>
      </w:r>
      <w:r>
        <w:t xml:space="preserve">: Secured compliance with Iran's Health Data Protection Law through Astronomer's audit-ready pipeline management.</w:t>
      </w:r>
    </w:p>
    <w:bookmarkEnd w:id="22"/>
    <w:bookmarkStart w:id="23" w:name="X57df7b79a739029450123e1e80a2550306478be"/>
    <w:p>
      <w:pPr>
        <w:pStyle w:val="Heading2"/>
      </w:pPr>
      <w:r>
        <w:t xml:space="preserve">Strategic Advantages in Iran Tehran Market</w:t>
      </w:r>
    </w:p>
    <w:p>
      <w:pPr>
        <w:pStyle w:val="FirstParagraph"/>
      </w:pPr>
      <w:r>
        <w:t xml:space="preserve">The Astronomer platform gained traction in Tehran due to three critical differentiators:</w:t>
      </w:r>
    </w:p>
    <w:p>
      <w:pPr>
        <w:numPr>
          <w:ilvl w:val="0"/>
          <w:numId w:val="1002"/>
        </w:numPr>
        <w:pStyle w:val="Compact"/>
      </w:pPr>
      <w:r>
        <w:rPr>
          <w:bCs/>
          <w:b/>
        </w:rPr>
        <w:t xml:space="preserve">Local Compliance Integration</w:t>
      </w:r>
      <w:r>
        <w:t xml:space="preserve">: Our Iran-focused engineering team developed custom modules for Persian-language data processing and alignment with National Data Center requirements.</w:t>
      </w:r>
    </w:p>
    <w:p>
      <w:pPr>
        <w:numPr>
          <w:ilvl w:val="0"/>
          <w:numId w:val="1002"/>
        </w:numPr>
        <w:pStyle w:val="Compact"/>
      </w:pPr>
      <w:r>
        <w:rPr>
          <w:bCs/>
          <w:b/>
        </w:rPr>
        <w:t xml:space="preserve">Tehran Community Building</w:t>
      </w:r>
      <w:r>
        <w:t xml:space="preserve">: We established the first Astronomer User Group in Tehran, hosting monthly workshops at Sharif University of Technology that attracted 327 technical professionals.</w:t>
      </w:r>
    </w:p>
    <w:p>
      <w:pPr>
        <w:numPr>
          <w:ilvl w:val="0"/>
          <w:numId w:val="1002"/>
        </w:numPr>
        <w:pStyle w:val="Compact"/>
      </w:pPr>
      <w:r>
        <w:rPr>
          <w:bCs/>
          <w:b/>
        </w:rPr>
        <w:t xml:space="preserve">Cost-Effective Deployment</w:t>
      </w:r>
      <w:r>
        <w:t xml:space="preserve">: The open-source core eliminated licensing barriers for Tehran enterprises facing USD sanctions, with our managed services offering 40% lower TCO than competitors.</w:t>
      </w:r>
    </w:p>
    <w:bookmarkEnd w:id="23"/>
    <w:bookmarkStart w:id="24" w:name="challenges-and-mitigation-strategies"/>
    <w:p>
      <w:pPr>
        <w:pStyle w:val="Heading2"/>
      </w:pPr>
      <w:r>
        <w:t xml:space="preserve">Challenges and Mitigation Strategies</w:t>
      </w:r>
    </w:p>
    <w:p>
      <w:pPr>
        <w:pStyle w:val="FirstParagraph"/>
      </w:pPr>
      <w:r>
        <w:t xml:space="preserve">Key obstacles encountered in Iran Tehran include:</w:t>
      </w:r>
    </w:p>
    <w:p>
      <w:pPr>
        <w:numPr>
          <w:ilvl w:val="0"/>
          <w:numId w:val="1003"/>
        </w:numPr>
        <w:pStyle w:val="Compact"/>
      </w:pPr>
      <w:r>
        <w:rPr>
          <w:bCs/>
          <w:b/>
        </w:rPr>
        <w:t xml:space="preserve">Infrastructure Limitations</w:t>
      </w:r>
      <w:r>
        <w:t xml:space="preserve">: Tehran's internet bandwidth constraints were addressed through optimized data sync protocols and on-premise deployment options.</w:t>
      </w:r>
    </w:p>
    <w:p>
      <w:pPr>
        <w:numPr>
          <w:ilvl w:val="0"/>
          <w:numId w:val="1003"/>
        </w:numPr>
        <w:pStyle w:val="Compact"/>
      </w:pPr>
      <w:r>
        <w:rPr>
          <w:bCs/>
          <w:b/>
        </w:rPr>
        <w:t xml:space="preserve">Regulatory Uncertainty</w:t>
      </w:r>
      <w:r>
        <w:t xml:space="preserve">: Proactive engagement with Iran's Information Technology High Council led to Astronomer being listed in the National Data Governance Framework.</w:t>
      </w:r>
    </w:p>
    <w:p>
      <w:pPr>
        <w:numPr>
          <w:ilvl w:val="0"/>
          <w:numId w:val="1003"/>
        </w:numPr>
        <w:pStyle w:val="Compact"/>
      </w:pPr>
      <w:r>
        <w:rPr>
          <w:bCs/>
          <w:b/>
        </w:rPr>
        <w:t xml:space="preserve">Cultural Adaptation</w:t>
      </w:r>
      <w:r>
        <w:t xml:space="preserve">: Technical documentation localized into Farsi and implementation teams trained on Tehran business practices reduced adoption friction by 57%.</w:t>
      </w:r>
    </w:p>
    <w:bookmarkEnd w:id="24"/>
    <w:bookmarkStart w:id="25" w:name="Xa4f0a3ccee2d197089b511ef7d50bd60dcba5de"/>
    <w:p>
      <w:pPr>
        <w:pStyle w:val="Heading2"/>
      </w:pPr>
      <w:r>
        <w:t xml:space="preserve">Future Sales Strategy for Iran Tehran (2024)</w:t>
      </w:r>
    </w:p>
    <w:p>
      <w:pPr>
        <w:pStyle w:val="FirstParagraph"/>
      </w:pPr>
      <w:r>
        <w:t xml:space="preserve">Based on Q3 performance, the following initiatives will drive Astronomer sales growth in Tehran:</w:t>
      </w:r>
    </w:p>
    <w:p>
      <w:pPr>
        <w:numPr>
          <w:ilvl w:val="0"/>
          <w:numId w:val="1004"/>
        </w:numPr>
        <w:pStyle w:val="Compact"/>
      </w:pPr>
      <w:r>
        <w:rPr>
          <w:bCs/>
          <w:b/>
        </w:rPr>
        <w:t xml:space="preserve">Tehran Data Center Partnership</w:t>
      </w:r>
      <w:r>
        <w:t xml:space="preserve">: Formal agreement with Iran's National Cloud Infrastructure for co-hosted Astronomer deployments by Q2 2024.</w:t>
      </w:r>
    </w:p>
    <w:p>
      <w:pPr>
        <w:numPr>
          <w:ilvl w:val="0"/>
          <w:numId w:val="1004"/>
        </w:numPr>
        <w:pStyle w:val="Compact"/>
      </w:pPr>
      <w:r>
        <w:rPr>
          <w:bCs/>
          <w:b/>
        </w:rPr>
        <w:t xml:space="preserve">Sector-Specific Solution Packs</w:t>
      </w:r>
      <w:r>
        <w:t xml:space="preserve">: Development of banking and healthcare templates tailored for Tehran regulatory requirements.</w:t>
      </w:r>
    </w:p>
    <w:p>
      <w:pPr>
        <w:numPr>
          <w:ilvl w:val="0"/>
          <w:numId w:val="1004"/>
        </w:numPr>
        <w:pStyle w:val="Compact"/>
      </w:pPr>
      <w:r>
        <w:rPr>
          <w:bCs/>
          <w:b/>
        </w:rPr>
        <w:t xml:space="preserve">University Collaboration Program</w:t>
      </w:r>
      <w:r>
        <w:t xml:space="preserve">: Expanding partnerships with Amirkabir University and Tehran Polytechnic to certify students in Astronomer platform usage.</w:t>
      </w:r>
    </w:p>
    <w:p>
      <w:pPr>
        <w:numPr>
          <w:ilvl w:val="0"/>
          <w:numId w:val="1004"/>
        </w:numPr>
        <w:pStyle w:val="Compact"/>
      </w:pPr>
      <w:r>
        <w:rPr>
          <w:bCs/>
          <w:b/>
        </w:rPr>
        <w:t xml:space="preserve">Government Sector Expansion</w:t>
      </w:r>
      <w:r>
        <w:t xml:space="preserve">: Targeting 5 municipal data projects in Tehran through the new Digital Iran initiative.</w:t>
      </w:r>
    </w:p>
    <w:bookmarkEnd w:id="25"/>
    <w:bookmarkStart w:id="26" w:name="conclusion"/>
    <w:p>
      <w:pPr>
        <w:pStyle w:val="Heading2"/>
      </w:pPr>
      <w:r>
        <w:t xml:space="preserve">Conclusion</w:t>
      </w:r>
    </w:p>
    <w:p>
      <w:pPr>
        <w:pStyle w:val="FirstParagraph"/>
      </w:pPr>
      <w:r>
        <w:t xml:space="preserve">The Sales Report confirms Astronomer's strategic importance in Iran Tehran's digital ecosystem. This market has demonstrated exceptional adoption velocity, proving that enterprise data orchestration is no longer a luxury but a necessity for competitiveness in the Iranian economy. With Tehran accounting for 89% of our total Iran sales, we project achieving $420k in annual revenue from this hub by Q4 2024 – representing 37% of our Middle East market share.</w:t>
      </w:r>
    </w:p>
    <w:p>
      <w:pPr>
        <w:pStyle w:val="BodyText"/>
      </w:pPr>
      <w:r>
        <w:t xml:space="preserve">As emphasized throughout this Sales Report, the Astronomer platform's success in Tehran stems from deep market understanding combined with technological adaptability. We recommend doubling down on localized implementation teams and expanding our Tehran-based community program to maintain momentum. The data speaks clearly: for enterprises navigating Iran's unique digital landscape, Astronomer is the engine driving their operational excellence.</w:t>
      </w:r>
    </w:p>
    <w:p>
      <w:pPr>
        <w:pStyle w:val="BodyText"/>
      </w:pPr>
      <w:r>
        <w:t xml:space="preserve">Prepared by Global Sales Intelligence Unit | Verified against Tehran Market Data Source (IMIDC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Platform in Iran Tehran Market</dc:title>
  <dc:creator/>
  <dc:language>en</dc:language>
  <cp:keywords/>
  <dcterms:created xsi:type="dcterms:W3CDTF">2026-07-21T04:46:59Z</dcterms:created>
  <dcterms:modified xsi:type="dcterms:W3CDTF">2026-07-21T04:46:59Z</dcterms:modified>
</cp:coreProperties>
</file>

<file path=docProps/custom.xml><?xml version="1.0" encoding="utf-8"?>
<Properties xmlns="http://schemas.openxmlformats.org/officeDocument/2006/custom-properties" xmlns:vt="http://schemas.openxmlformats.org/officeDocument/2006/docPropsVTypes"/>
</file>