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30" w:name="Xe908273d37c4bc41e03268e338613f54762444a"/>
    <w:p>
      <w:pPr>
        <w:pStyle w:val="Heading1"/>
      </w:pPr>
      <w:r>
        <w:t xml:space="preserve">Astronomer Sales Report: Strategic Expansion in Russia Moscow Market</w:t>
      </w:r>
    </w:p>
    <w:bookmarkStart w:id="20" w:name="executive-summary"/>
    <w:p>
      <w:pPr>
        <w:pStyle w:val="Heading2"/>
      </w:pPr>
      <w:r>
        <w:t xml:space="preserve">Executive Summary</w:t>
      </w:r>
    </w:p>
    <w:p>
      <w:pPr>
        <w:pStyle w:val="FirstParagraph"/>
      </w:pPr>
      <w:r>
        <w:t xml:space="preserve">This comprehensive Sales Report details the strategic growth trajectory of Astronomer within the high-potential Russian market, with particular focus on Moscow as the epicenter of digital transformation. Covering Q1-Q3 2023, this document demonstrates how Astronomer has established itself as a critical platform for data pipeline orchestration across major enterprises in Russia Moscow. With a 217% year-over-year revenue surge and acquisition of 37 strategic enterprise clients, Astronomer has cemented its position as the preferred open-source workflow management solution for Russian organizations navigating complex data landscapes.</w:t>
      </w:r>
    </w:p>
    <w:bookmarkEnd w:id="20"/>
    <w:bookmarkStart w:id="21" w:name="market-context-why-russia-moscow"/>
    <w:p>
      <w:pPr>
        <w:pStyle w:val="Heading2"/>
      </w:pPr>
      <w:r>
        <w:t xml:space="preserve">Market Context: Why Russia Moscow?</w:t>
      </w:r>
    </w:p>
    <w:p>
      <w:pPr>
        <w:pStyle w:val="FirstParagraph"/>
      </w:pPr>
      <w:r>
        <w:t xml:space="preserve">The Russian data engineering market is experiencing unprecedented growth, driven by regulatory demands (including GDPR-equivalent requirements) and digitalization initiatives across finance, retail, and government sectors. Moscow alone accounts for 63% of Russia's enterprise data infrastructure spending. As organizations migrate from legacy ETL tools to cloud-native solutions, Astronomer has emerged as the ideal platform due to its Kubernetes-native architecture, enhanced security compliance for CIS (Russia's cybersecurity standards), and Russian-language support capabilities – all critical factors in our successful market entry.</w:t>
      </w:r>
    </w:p>
    <w:bookmarkEnd w:id="21"/>
    <w:bookmarkStart w:id="22" w:name="X477955bf1cfaa0edcab252c16ccd5de9a1ea18a"/>
    <w:p>
      <w:pPr>
        <w:pStyle w:val="Heading2"/>
      </w:pPr>
      <w:r>
        <w:t xml:space="preserve">Key Sales Metrics: Russia Moscow Performance</w:t>
      </w:r>
    </w:p>
    <w:p>
      <w:pPr>
        <w:pStyle w:val="FirstParagraph"/>
      </w:pPr>
      <w:r>
        <w:t xml:space="preserve">Metric</w:t>
      </w:r>
    </w:p>
    <w:p>
      <w:pPr>
        <w:pStyle w:val="BodyText"/>
      </w:pPr>
      <w:r>
        <w:t xml:space="preserve">Q1 2023</w:t>
      </w:r>
    </w:p>
    <w:p>
      <w:pPr>
        <w:pStyle w:val="BodyText"/>
      </w:pPr>
      <w:r>
        <w:t xml:space="preserve">Q3 2023 (Current)</w:t>
      </w:r>
    </w:p>
    <w:p>
      <w:pPr>
        <w:pStyle w:val="BodyText"/>
      </w:pPr>
      <w:r>
        <w:t xml:space="preserve">Growth</w:t>
      </w:r>
    </w:p>
    <w:p>
      <w:pPr>
        <w:pStyle w:val="BodyText"/>
      </w:pPr>
      <w:r>
        <w:t xml:space="preserve">Enterprise Clients Acquired</w:t>
      </w:r>
    </w:p>
    <w:p>
      <w:pPr>
        <w:pStyle w:val="BodyText"/>
      </w:pPr>
      <w:r>
        <w:t xml:space="preserve">8</w:t>
      </w:r>
    </w:p>
    <w:p>
      <w:pPr>
        <w:pStyle w:val="BodyText"/>
      </w:pPr>
      <w:r>
        <w:t xml:space="preserve">37</w:t>
      </w:r>
    </w:p>
    <w:p>
      <w:pPr>
        <w:pStyle w:val="BodyText"/>
      </w:pPr>
      <w:r>
        <w:t xml:space="preserve">+362.5%</w:t>
      </w:r>
    </w:p>
    <w:p>
      <w:pPr>
        <w:pStyle w:val="BodyText"/>
      </w:pPr>
      <w:r>
        <w:t xml:space="preserve">Revenue Generated (USD)</w:t>
      </w:r>
    </w:p>
    <w:p>
      <w:pPr>
        <w:pStyle w:val="BodyText"/>
      </w:pPr>
      <w:r>
        <w:t xml:space="preserve">$142,000</w:t>
      </w:r>
    </w:p>
    <w:p>
      <w:pPr>
        <w:pStyle w:val="BodyText"/>
      </w:pPr>
      <w:r>
        <w:t xml:space="preserve">&lt; td&gt;$498,500&lt; td &gt; + 251 %</w:t>
      </w:r>
    </w:p>
    <w:p>
      <w:pPr>
        <w:pStyle w:val="BodyText"/>
      </w:pPr>
      <w:r>
        <w:t xml:space="preserve">Platform Adoption Rate</w:t>
      </w:r>
    </w:p>
    <w:p>
      <w:pPr>
        <w:pStyle w:val="BodyText"/>
      </w:pPr>
      <w:r>
        <w:t xml:space="preserve">67%</w:t>
      </w:r>
    </w:p>
    <w:p>
      <w:pPr>
        <w:pStyle w:val="BodyText"/>
      </w:pPr>
      <w:r>
        <w:t xml:space="preserve">92%</w:t>
      </w:r>
    </w:p>
    <w:p>
      <w:pPr>
        <w:pStyle w:val="BodyText"/>
      </w:pPr>
      <w:r>
        <w:t xml:space="preserve">+25 pts</w:t>
      </w:r>
    </w:p>
    <w:p>
      <w:pPr>
        <w:pStyle w:val="BodyText"/>
      </w:pPr>
      <w:r>
        <w:t xml:space="preserve">NPS Score (Russia)</w:t>
      </w:r>
    </w:p>
    <w:p>
      <w:pPr>
        <w:pStyle w:val="BodyText"/>
      </w:pPr>
      <w:r>
        <w:t xml:space="preserve">&lt;</w:t>
      </w:r>
    </w:p>
    <w:p>
      <w:pPr>
        <w:pStyle w:val="BodyText"/>
      </w:pPr>
      <w:r>
        <w:t xml:space="preserve">38</w:t>
      </w:r>
    </w:p>
    <w:p>
      <w:pPr>
        <w:pStyle w:val="BodyText"/>
      </w:pPr>
      <w:r>
        <w:t xml:space="preserve">71&lt; td &gt; + 33</w:t>
      </w:r>
    </w:p>
    <w:p>
      <w:pPr>
        <w:pStyle w:val="BodyText"/>
      </w:pPr>
      <w:r>
        <w:t xml:space="preserve">The Moscow sales team achieved a 22% market penetration in the top 50 Russian enterprises within our target verticals – far exceeding the global average of 8%. Notable achievements include securing contracts with VTB Bank (Russia's second-largest financial institution), Yandex Data Platform, and Gazprom Neft for enterprise-wide data pipeline modernization.</w:t>
      </w:r>
    </w:p>
    <w:bookmarkEnd w:id="22"/>
    <w:bookmarkStart w:id="25" w:name="strategic-client-success-stories"/>
    <w:p>
      <w:pPr>
        <w:pStyle w:val="Heading2"/>
      </w:pPr>
      <w:r>
        <w:t xml:space="preserve">Strategic Client Success Stories</w:t>
      </w:r>
    </w:p>
    <w:bookmarkStart w:id="23" w:name="vtb-bank-enterprise-data-transformation"/>
    <w:p>
      <w:pPr>
        <w:pStyle w:val="Heading3"/>
      </w:pPr>
      <w:r>
        <w:t xml:space="preserve">VTB Bank: Enterprise Data Transformation</w:t>
      </w:r>
    </w:p>
    <w:p>
      <w:pPr>
        <w:pStyle w:val="FirstParagraph"/>
      </w:pPr>
      <w:r>
        <w:t xml:space="preserve">Astronomer enabled VTB to replace 14 legacy ETL systems with a single, unified orchestration layer across 17 business units. The implementation reduced data pipeline deployment time from 4 weeks to 8 hours and achieved full compliance with Central Bank of Russia's new Data Localization requirements. VTB now uses Astronomer for all critical financial reporting pipelines serving over 2 million daily transactions.</w:t>
      </w:r>
    </w:p>
    <w:bookmarkEnd w:id="23"/>
    <w:bookmarkStart w:id="24" w:name="X887d48882f8d699cc155c413bce1d713c156fa8"/>
    <w:p>
      <w:pPr>
        <w:pStyle w:val="Heading3"/>
      </w:pPr>
      <w:r>
        <w:t xml:space="preserve">Yandex Data Platform: Scalability Breakthrough</w:t>
      </w:r>
    </w:p>
    <w:p>
      <w:pPr>
        <w:pStyle w:val="FirstParagraph"/>
      </w:pPr>
      <w:r>
        <w:t xml:space="preserve">As one of Russia's largest tech companies, Yandex required a solution handling 500+ concurrent data pipelines across Moscow and St. Petersburg offices. Astronomer's Kubernetes integration allowed Yandex to scale their data infrastructure by 400% without additional hardware costs. The platform's ability to handle Russian-language workflow configurations was instrumental in accelerating adoption across non-English speaking engineering teams.</w:t>
      </w:r>
    </w:p>
    <w:bookmarkEnd w:id="24"/>
    <w:bookmarkEnd w:id="25"/>
    <w:bookmarkStart w:id="26" w:name="Xc2b9a501326a96f2cda23595e0c81305862f6f6"/>
    <w:p>
      <w:pPr>
        <w:pStyle w:val="Heading2"/>
      </w:pPr>
      <w:r>
        <w:t xml:space="preserve">Market-Specific Implementation Advantages</w:t>
      </w:r>
    </w:p>
    <w:p>
      <w:pPr>
        <w:pStyle w:val="FirstParagraph"/>
      </w:pPr>
      <w:r>
        <w:t xml:space="preserve">Astronomer's success in Russia Moscow stems from three critical adaptations:</w:t>
      </w:r>
    </w:p>
    <w:p>
      <w:pPr>
        <w:numPr>
          <w:ilvl w:val="0"/>
          <w:numId w:val="1001"/>
        </w:numPr>
        <w:pStyle w:val="Compact"/>
      </w:pPr>
      <w:r>
        <w:rPr>
          <w:bCs/>
          <w:b/>
        </w:rPr>
        <w:t xml:space="preserve">CIS Compliance Framework:</w:t>
      </w:r>
      <w:r>
        <w:t xml:space="preserve"> </w:t>
      </w:r>
      <w:r>
        <w:t xml:space="preserve">Pre-configured security policies meeting FSB Order 464 requirements for data processing within Russian territory.</w:t>
      </w:r>
    </w:p>
    <w:p>
      <w:pPr>
        <w:numPr>
          <w:ilvl w:val="0"/>
          <w:numId w:val="1001"/>
        </w:numPr>
        <w:pStyle w:val="Compact"/>
      </w:pPr>
      <w:r>
        <w:rPr>
          <w:bCs/>
          <w:b/>
        </w:rPr>
        <w:t xml:space="preserve">Localized Support Infrastructure:</w:t>
      </w:r>
      <w:r>
        <w:t xml:space="preserve"> </w:t>
      </w:r>
      <w:r>
        <w:t xml:space="preserve">Dedicated 24/7 support center in Moscow with engineers fluent in Russian and familiar with local regulatory frameworks.</w:t>
      </w:r>
    </w:p>
    <w:p>
      <w:pPr>
        <w:numPr>
          <w:ilvl w:val="0"/>
          <w:numId w:val="1001"/>
        </w:numPr>
        <w:pStyle w:val="Compact"/>
      </w:pPr>
      <w:r>
        <w:rPr>
          <w:bCs/>
          <w:b/>
        </w:rPr>
        <w:t xml:space="preserve">Russian Language Workbench:</w:t>
      </w:r>
      <w:r>
        <w:t xml:space="preserve"> </w:t>
      </w:r>
      <w:r>
        <w:t xml:space="preserve">Fully localized UI and documentation, eliminating language barriers for technical teams across all Russian enterprises.</w:t>
      </w:r>
    </w:p>
    <w:bookmarkEnd w:id="26"/>
    <w:bookmarkStart w:id="27" w:name="challenges-strategic-response"/>
    <w:p>
      <w:pPr>
        <w:pStyle w:val="Heading2"/>
      </w:pPr>
      <w:r>
        <w:t xml:space="preserve">Challenges &amp; Strategic Response</w:t>
      </w:r>
    </w:p>
    <w:p>
      <w:pPr>
        <w:pStyle w:val="FirstParagraph"/>
      </w:pPr>
      <w:r>
        <w:t xml:space="preserve">The primary challenge was overcoming legacy system inertia in Russia's conservative financial sector. Our strategic response included:</w:t>
      </w:r>
    </w:p>
    <w:p>
      <w:pPr>
        <w:numPr>
          <w:ilvl w:val="0"/>
          <w:numId w:val="1002"/>
        </w:numPr>
        <w:pStyle w:val="Compact"/>
      </w:pPr>
      <w:r>
        <w:t xml:space="preserve">Partnering with local systems integrators (e.g., SberTech, Kaspersky Lab) for certified implementation services</w:t>
      </w:r>
    </w:p>
    <w:p>
      <w:pPr>
        <w:numPr>
          <w:ilvl w:val="0"/>
          <w:numId w:val="1002"/>
        </w:numPr>
        <w:pStyle w:val="Compact"/>
      </w:pPr>
      <w:r>
        <w:t xml:space="preserve">Hosting free compliance workshops at Moscow's IT Park showcasing data sovereignty capabilities</w:t>
      </w:r>
    </w:p>
    <w:p>
      <w:pPr>
        <w:numPr>
          <w:ilvl w:val="0"/>
          <w:numId w:val="1002"/>
        </w:numPr>
        <w:pStyle w:val="Compact"/>
      </w:pPr>
      <w:r>
        <w:t xml:space="preserve">Developing a Russia-specific training curriculum validated by Roskomnadzor-certified experts</w:t>
      </w:r>
    </w:p>
    <w:p>
      <w:pPr>
        <w:pStyle w:val="FirstParagraph"/>
      </w:pPr>
      <w:r>
        <w:t xml:space="preserve">This approach directly addressed the market's primary concern: ensuring Astronomer operates within Russia's strict data localization laws while delivering enterprise-grade performance.</w:t>
      </w:r>
    </w:p>
    <w:bookmarkEnd w:id="27"/>
    <w:bookmarkStart w:id="28" w:name="future-growth-strategy-for-russia-moscow"/>
    <w:p>
      <w:pPr>
        <w:pStyle w:val="Heading2"/>
      </w:pPr>
      <w:r>
        <w:t xml:space="preserve">Future Growth Strategy for Russia Moscow</w:t>
      </w:r>
    </w:p>
    <w:p>
      <w:pPr>
        <w:pStyle w:val="FirstParagraph"/>
      </w:pPr>
      <w:r>
        <w:t xml:space="preserve">Our 2024 roadmap includes:</w:t>
      </w:r>
    </w:p>
    <w:p>
      <w:pPr>
        <w:numPr>
          <w:ilvl w:val="0"/>
          <w:numId w:val="1003"/>
        </w:numPr>
        <w:pStyle w:val="Compact"/>
      </w:pPr>
      <w:r>
        <w:rPr>
          <w:bCs/>
          <w:b/>
        </w:rPr>
        <w:t xml:space="preserve">Government Sector Expansion:</w:t>
      </w:r>
      <w:r>
        <w:t xml:space="preserve"> </w:t>
      </w:r>
      <w:r>
        <w:t xml:space="preserve">Targeting federal agencies with the newly launched "Astronomer for Public Sector" package compliant with state information security standards (GOST R 57580-2017)</w:t>
      </w:r>
    </w:p>
    <w:p>
      <w:pPr>
        <w:numPr>
          <w:ilvl w:val="0"/>
          <w:numId w:val="1003"/>
        </w:numPr>
        <w:pStyle w:val="Compact"/>
      </w:pPr>
      <w:r>
        <w:rPr>
          <w:bCs/>
          <w:b/>
        </w:rPr>
        <w:t xml:space="preserve">Moscow Innovation Hub:</w:t>
      </w:r>
      <w:r>
        <w:t xml:space="preserve"> </w:t>
      </w:r>
      <w:r>
        <w:t xml:space="preserve">Establishing a dedicated development center in Skolkovo Innovation Center to accelerate Russian-language feature development</w:t>
      </w:r>
    </w:p>
    <w:p>
      <w:pPr>
        <w:numPr>
          <w:ilvl w:val="0"/>
          <w:numId w:val="1003"/>
        </w:numPr>
        <w:pStyle w:val="Compact"/>
      </w:pPr>
      <w:r>
        <w:rPr>
          <w:bCs/>
          <w:b/>
        </w:rPr>
        <w:t xml:space="preserve">Partnership Ecosystem:</w:t>
      </w:r>
      <w:r>
        <w:t xml:space="preserve"> </w:t>
      </w:r>
      <w:r>
        <w:t xml:space="preserve">Building certified integrations with local cloud providers (Yandex Cloud, Mail.ru Group) for simplified deployment</w:t>
      </w:r>
    </w:p>
    <w:bookmarkEnd w:id="28"/>
    <w:bookmarkStart w:id="29" w:name="X7887d0906ceddafd66b100a9490638725cfbba1"/>
    <w:p>
      <w:pPr>
        <w:pStyle w:val="Heading2"/>
      </w:pPr>
      <w:r>
        <w:t xml:space="preserve">Conclusion: The Astronomer Advantage in Russia Moscow</w:t>
      </w:r>
    </w:p>
    <w:p>
      <w:pPr>
        <w:pStyle w:val="FirstParagraph"/>
      </w:pPr>
      <w:r>
        <w:t xml:space="preserve">This Sales Report confirms that Astronomer has transcended being merely a technical solution to become a strategic partner for digital transformation in Russia Moscow. By prioritizing local compliance, language accessibility, and market-specific implementation support, we've achieved unprecedented adoption rates in one of the world's most demanding enterprise markets. The 217% revenue growth demonstrates that when technology aligns with regional regulatory and operational realities – as Astronomer has done for Russia Moscow – market leadership follows organically.</w:t>
      </w:r>
    </w:p>
    <w:p>
      <w:pPr>
        <w:pStyle w:val="BodyText"/>
      </w:pPr>
      <w:r>
        <w:t xml:space="preserve">Looking ahead, our focus remains on deepening relationships within the Moscow ecosystem while extending Astronomer's value proposition across all Russian enterprise segments. As data becomes the new strategic asset in Russia's economic landscape, Astronomer is positioned not just to serve but to lead the country's data engineering revolution – one pipeline at a time.</w:t>
      </w:r>
    </w:p>
    <w:p>
      <w:pPr>
        <w:pStyle w:val="BodyText"/>
      </w:pPr>
      <w:r>
        <w:rPr>
          <w:bCs/>
          <w:b/>
        </w:rPr>
        <w:t xml:space="preserve">Prepared by: Global Sales Strategy Team</w:t>
      </w:r>
      <w:r>
        <w:br/>
      </w:r>
      <w:r>
        <w:rPr>
          <w:bCs/>
          <w:b/>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Russia Moscow Market</dc:title>
  <dc:creator/>
  <dc:language>en</dc:language>
  <cp:keywords/>
  <dcterms:created xsi:type="dcterms:W3CDTF">2026-07-21T11:06:46Z</dcterms:created>
  <dcterms:modified xsi:type="dcterms:W3CDTF">2026-07-21T11:06:46Z</dcterms:modified>
</cp:coreProperties>
</file>

<file path=docProps/custom.xml><?xml version="1.0" encoding="utf-8"?>
<Properties xmlns="http://schemas.openxmlformats.org/officeDocument/2006/custom-properties" xmlns:vt="http://schemas.openxmlformats.org/officeDocument/2006/docPropsVTypes"/>
</file>