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w:t>
      </w:r>
      <w:r>
        <w:t xml:space="preserve"> </w:t>
      </w:r>
      <w:r>
        <w:t xml:space="preserve">Abu</w:t>
      </w:r>
      <w:r>
        <w:t xml:space="preserve"> </w:t>
      </w:r>
      <w:r>
        <w:t xml:space="preserve">Dhabi</w:t>
      </w:r>
      <w:r>
        <w:t xml:space="preserve"> </w:t>
      </w:r>
      <w:r>
        <w:t xml:space="preserve">Market</w:t>
      </w:r>
    </w:p>
    <w:bookmarkStart w:id="28" w:name="X7f403e2d30400bac283fad97b9e37bc382901b7"/>
    <w:p>
      <w:pPr>
        <w:pStyle w:val="Heading1"/>
      </w:pPr>
      <w:r>
        <w:t xml:space="preserve">Sales Report: Astronomer Performance in United Arab Emirates Abu Dhabi</w:t>
      </w:r>
    </w:p>
    <w:bookmarkStart w:id="20" w:name="executive-summary"/>
    <w:p>
      <w:pPr>
        <w:pStyle w:val="Heading2"/>
      </w:pPr>
      <w:r>
        <w:t xml:space="preserve">Executive Summary</w:t>
      </w:r>
    </w:p>
    <w:p>
      <w:pPr>
        <w:pStyle w:val="FirstParagraph"/>
      </w:pPr>
      <w:r>
        <w:t xml:space="preserve">This comprehensive Sales Report details the operational and commercial performance of Astronomer, a leading technology solutions provider specializing in advanced data analytics platforms, within the United Arab Emirates Abu Dhabi market. Covering Q1-Q4 2023, this report demonstrates Astronomer's strategic growth trajectory in one of the world's most dynamic business hubs. The United Arab Emirates Abu Dhabi region has emerged as a critical growth engine for Astronomer, contributing 38% to global revenue with a remarkable 47% year-over-year expansion. This success stems from aligning our cutting-edge platform with Abu Dhabi's ambitious Vision 2030 digital transformation initiatives and the emirate's position as a global innovation leader.</w:t>
      </w:r>
    </w:p>
    <w:bookmarkEnd w:id="20"/>
    <w:bookmarkStart w:id="21" w:name="X2c8dc67b018ea29535992b30efbddf74ba2b3bd"/>
    <w:p>
      <w:pPr>
        <w:pStyle w:val="Heading2"/>
      </w:pPr>
      <w:r>
        <w:t xml:space="preserve">Market Context: Astronomer in Abu Dhabi's Strategic Landscape</w:t>
      </w:r>
    </w:p>
    <w:p>
      <w:pPr>
        <w:pStyle w:val="FirstParagraph"/>
      </w:pPr>
      <w:r>
        <w:t xml:space="preserve">The United Arab Emirates Abu Dhabi market presents unique opportunities for technology providers due to its aggressive investment in AI, smart city infrastructure, and data-driven governance. As the capital of the UAE and home to major initiatives like Masdar City and ADNOC's digital transformation program, Abu Dhabi has established itself as a magnet for enterprise-grade analytics solutions. Astronomer strategically positioned itself here by understanding local regulatory frameworks while delivering culturally attuned technical support—ensuring our Sales Report consistently reflects this market-specific adaptation. Our partnership with Abu Dhabi's Department of Economic Development (DED) and participation in the annual Global Tech Forum underscored our commitment to this pivotal region.</w:t>
      </w:r>
    </w:p>
    <w:bookmarkEnd w:id="21"/>
    <w:bookmarkStart w:id="22" w:name="performance-metrics-q1-q4-2023"/>
    <w:p>
      <w:pPr>
        <w:pStyle w:val="Heading2"/>
      </w:pPr>
      <w:r>
        <w:t xml:space="preserve">Performance Metrics: Q1-Q4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Revenue (AED)</w:t>
            </w:r>
          </w:p>
        </w:tc>
        <w:tc>
          <w:tcPr/>
          <w:p>
            <w:pPr>
              <w:pStyle w:val="Compact"/>
              <w:jc w:val="left"/>
            </w:pPr>
            <w:r>
              <w:t xml:space="preserve">Growth vs Previous Qtr</w:t>
            </w:r>
          </w:p>
        </w:tc>
        <w:tc>
          <w:tcPr/>
          <w:p>
            <w:pPr>
              <w:pStyle w:val="Compact"/>
              <w:jc w:val="left"/>
            </w:pPr>
            <w:r>
              <w:t xml:space="preserve">Key Enterprise Clients</w:t>
            </w:r>
          </w:p>
        </w:tc>
      </w:tr>
      <w:tr>
        <w:tc>
          <w:tcPr/>
          <w:p>
            <w:pPr>
              <w:pStyle w:val="Compact"/>
              <w:jc w:val="left"/>
            </w:pPr>
            <w:r>
              <w:t xml:space="preserve">Q1 2023</w:t>
            </w:r>
          </w:p>
        </w:tc>
        <w:tc>
          <w:tcPr/>
          <w:p>
            <w:pPr>
              <w:pStyle w:val="Compact"/>
              <w:jc w:val="left"/>
            </w:pPr>
            <w:r>
              <w:t xml:space="preserve">18.5M</w:t>
            </w:r>
          </w:p>
        </w:tc>
        <w:tc>
          <w:tcPr/>
          <w:p>
            <w:pPr>
              <w:pStyle w:val="Compact"/>
              <w:jc w:val="left"/>
            </w:pPr>
            <w:r>
              <w:t xml:space="preserve">N/A</w:t>
            </w:r>
          </w:p>
        </w:tc>
        <w:tc>
          <w:tcPr/>
          <w:p>
            <w:pPr>
              <w:pStyle w:val="Compact"/>
              <w:jc w:val="left"/>
            </w:pPr>
            <w:r>
              <w:t xml:space="preserve">Abu Dhabi National Oil Company (ADNOC), Abu Dhabi Health Services (SEHA)</w:t>
            </w:r>
          </w:p>
        </w:tc>
      </w:tr>
      <w:tr>
        <w:tc>
          <w:tcPr/>
          <w:p>
            <w:pPr>
              <w:pStyle w:val="Compact"/>
              <w:jc w:val="left"/>
            </w:pPr>
            <w:r>
              <w:t xml:space="preserve">Q2 2023</w:t>
            </w:r>
          </w:p>
        </w:tc>
        <w:tc>
          <w:tcPr/>
          <w:p>
            <w:pPr>
              <w:pStyle w:val="Compact"/>
              <w:jc w:val="left"/>
            </w:pPr>
            <w:r>
              <w:t xml:space="preserve">24.7M</w:t>
            </w:r>
          </w:p>
        </w:tc>
        <w:tc>
          <w:tcPr/>
          <w:p>
            <w:pPr>
              <w:pStyle w:val="Compact"/>
              <w:jc w:val="left"/>
            </w:pPr>
            <w:r>
              <w:t xml:space="preserve">+33.5%</w:t>
            </w:r>
          </w:p>
        </w:tc>
        <w:tc>
          <w:tcPr/>
          <w:p>
            <w:pPr>
              <w:pStyle w:val="Compact"/>
              <w:jc w:val="left"/>
            </w:pPr>
            <w:r>
              <w:t xml:space="preserve">Mubadala Investment Company, Etihad Airways</w:t>
            </w:r>
          </w:p>
        </w:tc>
      </w:tr>
      <w:tr>
        <w:tc>
          <w:tcPr/>
          <w:p>
            <w:pPr>
              <w:pStyle w:val="Compact"/>
              <w:jc w:val="left"/>
            </w:pPr>
            <w:r>
              <w:t xml:space="preserve">Q3 2023</w:t>
            </w:r>
          </w:p>
        </w:tc>
        <w:tc>
          <w:tcPr/>
          <w:p>
            <w:pPr>
              <w:pStyle w:val="Compact"/>
              <w:jc w:val="left"/>
            </w:pPr>
            <w:r>
              <w:t xml:space="preserve">31.8M</w:t>
            </w:r>
          </w:p>
        </w:tc>
        <w:tc>
          <w:tcPr/>
          <w:p>
            <w:pPr>
              <w:pStyle w:val="Compact"/>
              <w:jc w:val="left"/>
            </w:pPr>
            <w:r>
              <w:t xml:space="preserve">+28.7%</w:t>
            </w:r>
          </w:p>
        </w:tc>
        <w:tc>
          <w:tcPr/>
          <w:p>
            <w:pPr>
              <w:pStyle w:val="Compact"/>
              <w:jc w:val="left"/>
            </w:pPr>
            <w:r>
              <w:t xml:space="preserve">Abu Dhabi Future Energy Company (Masdar), Abu Dhabi Police IT Division</w:t>
            </w:r>
          </w:p>
        </w:tc>
      </w:tr>
      <w:tr>
        <w:tc>
          <w:tcPr/>
          <w:p>
            <w:pPr>
              <w:pStyle w:val="Compact"/>
              <w:jc w:val="left"/>
            </w:pPr>
            <w:r>
              <w:t xml:space="preserve">Q4 2023</w:t>
            </w:r>
          </w:p>
        </w:tc>
        <w:tc>
          <w:tcPr/>
          <w:p>
            <w:pPr>
              <w:pStyle w:val="Compact"/>
              <w:jc w:val="left"/>
            </w:pPr>
            <w:r>
              <w:t xml:space="preserve">40.9M</w:t>
            </w:r>
          </w:p>
        </w:tc>
        <w:tc>
          <w:tcPr/>
          <w:p>
            <w:pPr>
              <w:pStyle w:val="Compact"/>
              <w:jc w:val="left"/>
            </w:pPr>
            <w:r>
              <w:t xml:space="preserve">+28.6%</w:t>
            </w:r>
          </w:p>
        </w:tc>
        <w:tc>
          <w:tcPr/>
          <w:p>
            <w:pPr>
              <w:pStyle w:val="Compact"/>
              <w:jc w:val="left"/>
            </w:pPr>
            <w:r>
              <w:t xml:space="preserve">Dubai Airport Free Zone (DAFZA), Abu Dhabi National Tenders Authority (ANTA)</w:t>
            </w:r>
          </w:p>
        </w:tc>
      </w:tr>
    </w:tbl>
    <w:p>
      <w:pPr>
        <w:pStyle w:val="BodyText"/>
      </w:pPr>
      <w:r>
        <w:t xml:space="preserve">The Sales Report confirms Astronomer's consistent acceleration, with Q4 revenue exceeding projections by 12%. This growth was driven by three pivotal factors: 1) Customized Arabic-language interface adoption across government entities, 2) Integration with Abu Dhabi's National Data Platform initiative, and 3) Strategic partnerships with local technology integrators like Al Jazira Systems. Notably, the United Arab Emirates Abu Dhabi market achieved a 92% customer retention rate—significantly above the regional average of 78%—demonstrating exceptional product-market fit.</w:t>
      </w:r>
    </w:p>
    <w:bookmarkEnd w:id="22"/>
    <w:bookmarkStart w:id="23" w:name="product-performance-analysis"/>
    <w:p>
      <w:pPr>
        <w:pStyle w:val="Heading2"/>
      </w:pPr>
      <w:r>
        <w:t xml:space="preserve">Product Performance Analysis</w:t>
      </w:r>
    </w:p>
    <w:p>
      <w:pPr>
        <w:pStyle w:val="FirstParagraph"/>
      </w:pPr>
      <w:r>
        <w:t xml:space="preserve">Astronomer's flagship platform saw unprecedented adoption in Abu Dhabi's enterprise sector. The "Astronomer Data Nexus" solution, designed for real-time analytics of IoT networks and smart city infrastructure, captured 65% of all new contracts in the region. This success was amplified by our localized implementation methodology:</w:t>
      </w:r>
    </w:p>
    <w:p>
      <w:pPr>
        <w:numPr>
          <w:ilvl w:val="0"/>
          <w:numId w:val="1001"/>
        </w:numPr>
        <w:pStyle w:val="Compact"/>
      </w:pPr>
      <w:r>
        <w:rPr>
          <w:bCs/>
          <w:b/>
        </w:rPr>
        <w:t xml:space="preserve">Compliance Integration:</w:t>
      </w:r>
      <w:r>
        <w:t xml:space="preserve"> </w:t>
      </w:r>
      <w:r>
        <w:t xml:space="preserve">Pre-built modules for UAE data sovereignty laws (e.g., DIFC regulations) reduced deployment timelines by 40%</w:t>
      </w:r>
    </w:p>
    <w:p>
      <w:pPr>
        <w:numPr>
          <w:ilvl w:val="0"/>
          <w:numId w:val="1001"/>
        </w:numPr>
        <w:pStyle w:val="Compact"/>
      </w:pPr>
      <w:r>
        <w:rPr>
          <w:bCs/>
          <w:b/>
        </w:rPr>
        <w:t xml:space="preserve">Cultural Optimization:</w:t>
      </w:r>
      <w:r>
        <w:t xml:space="preserve"> </w:t>
      </w:r>
      <w:r>
        <w:t xml:space="preserve">Sales teams embedded within Abu Dhabi's innovation hubs facilitated faster decision cycles</w:t>
      </w:r>
    </w:p>
    <w:p>
      <w:pPr>
        <w:numPr>
          <w:ilvl w:val="0"/>
          <w:numId w:val="1001"/>
        </w:numPr>
        <w:pStyle w:val="Compact"/>
      </w:pPr>
      <w:r>
        <w:rPr>
          <w:bCs/>
          <w:b/>
        </w:rPr>
        <w:t xml:space="preserve">Sustainability Alignment:</w:t>
      </w:r>
      <w:r>
        <w:t xml:space="preserve"> </w:t>
      </w:r>
      <w:r>
        <w:t xml:space="preserve">Energy analytics features directly supported Abu Dhabi's Net Zero 2050 strategy, securing government contracts</w:t>
      </w:r>
    </w:p>
    <w:p>
      <w:pPr>
        <w:pStyle w:val="FirstParagraph"/>
      </w:pPr>
      <w:r>
        <w:t xml:space="preserve">The United Arab Emirates Abu Dhabi market accounted for 73% of all "Astronomer Data Nexus" implementations globally during Q4. Notable case studies include the ADNOC Digital Transformation Center, where Astronomer's platform reduced predictive maintenance costs by 31%, and the Abu Dhabi Education Council, which deployed our solution to optimize resource allocation across 210 schools.</w:t>
      </w:r>
    </w:p>
    <w:bookmarkEnd w:id="23"/>
    <w:bookmarkStart w:id="24" w:name="competitive-landscape"/>
    <w:p>
      <w:pPr>
        <w:pStyle w:val="Heading2"/>
      </w:pPr>
      <w:r>
        <w:t xml:space="preserve">Competitive Landscape</w:t>
      </w:r>
    </w:p>
    <w:p>
      <w:pPr>
        <w:pStyle w:val="FirstParagraph"/>
      </w:pPr>
      <w:r>
        <w:t xml:space="preserve">In Abu Dhabi's competitive tech market (with major players like Microsoft Azure and AWS), Astronomer differentiated through hyper-local expertise. Our Sales Report highlights that while global competitors focused on standardized solutions, Astronomer invested in Abu Dhabi-specific capabilities:</w:t>
      </w:r>
    </w:p>
    <w:p>
      <w:pPr>
        <w:numPr>
          <w:ilvl w:val="0"/>
          <w:numId w:val="1002"/>
        </w:numPr>
        <w:pStyle w:val="Compact"/>
      </w:pPr>
      <w:r>
        <w:t xml:space="preserve">Established a dedicated UAE data center within Abu Dhabi's Technology Innovation Institute (TII)</w:t>
      </w:r>
    </w:p>
    <w:p>
      <w:pPr>
        <w:numPr>
          <w:ilvl w:val="0"/>
          <w:numId w:val="1002"/>
        </w:numPr>
        <w:pStyle w:val="Compact"/>
      </w:pPr>
      <w:r>
        <w:t xml:space="preserve">Developed 8+ industry-specific templates for sectors critical to Abu Dhabi: energy, healthcare, and public infrastructure</w:t>
      </w:r>
    </w:p>
    <w:p>
      <w:pPr>
        <w:numPr>
          <w:ilvl w:val="0"/>
          <w:numId w:val="1002"/>
        </w:numPr>
        <w:pStyle w:val="Compact"/>
      </w:pPr>
      <w:r>
        <w:t xml:space="preserve">Provided bilingual (English/Arabic) support with 24-hour response times for enterprise clients</w:t>
      </w:r>
    </w:p>
    <w:p>
      <w:pPr>
        <w:pStyle w:val="FirstParagraph"/>
      </w:pPr>
      <w:r>
        <w:t xml:space="preserve">This localized approach enabled Astronomer to win contracts from competitors that relied on offshore support models. The United Arab Emirates Abu Dhabi market now represents Astronomer's most profitable regional segment, with a 68% gross margin—surpassing the global average of 54%.</w:t>
      </w:r>
    </w:p>
    <w:bookmarkEnd w:id="24"/>
    <w:bookmarkStart w:id="25" w:name="challenges-and-strategic-response"/>
    <w:p>
      <w:pPr>
        <w:pStyle w:val="Heading2"/>
      </w:pPr>
      <w:r>
        <w:t xml:space="preserve">Challenges and Strategic Response</w:t>
      </w:r>
    </w:p>
    <w:p>
      <w:pPr>
        <w:pStyle w:val="FirstParagraph"/>
      </w:pPr>
      <w:r>
        <w:t xml:space="preserve">Despite strong growth, our Sales Report identifies two key challenges in Abu Dhabi:</w:t>
      </w:r>
    </w:p>
    <w:p>
      <w:pPr>
        <w:numPr>
          <w:ilvl w:val="0"/>
          <w:numId w:val="1003"/>
        </w:numPr>
        <w:pStyle w:val="Compact"/>
      </w:pPr>
      <w:r>
        <w:rPr>
          <w:bCs/>
          <w:b/>
        </w:rPr>
        <w:t xml:space="preserve">Cultural Onboarding:</w:t>
      </w:r>
      <w:r>
        <w:t xml:space="preserve"> </w:t>
      </w:r>
      <w:r>
        <w:t xml:space="preserve">Initial resistance from government entities due to unfamiliarity with cloud-based analytics. *Response:* We implemented "Astronomer Academy" workshops conducted by UAE-certified trainers, resulting in 200+ certified users within six months.</w:t>
      </w:r>
    </w:p>
    <w:p>
      <w:pPr>
        <w:numPr>
          <w:ilvl w:val="0"/>
          <w:numId w:val="1003"/>
        </w:numPr>
        <w:pStyle w:val="Compact"/>
      </w:pPr>
      <w:r>
        <w:rPr>
          <w:bCs/>
          <w:b/>
        </w:rPr>
        <w:t xml:space="preserve">Competitive Pricing Pressure:</w:t>
      </w:r>
      <w:r>
        <w:t xml:space="preserve"> </w:t>
      </w:r>
      <w:r>
        <w:t xml:space="preserve">Local competitors attempting to undercut pricing. *Response:* We introduced value-based pricing bundles aligned with Abu Dhabi's economic diversification goals, focusing on ROI rather than initial cost.</w:t>
      </w:r>
    </w:p>
    <w:p>
      <w:pPr>
        <w:pStyle w:val="FirstParagraph"/>
      </w:pPr>
      <w:r>
        <w:t xml:space="preserve">These strategies directly contributed to Astronomer achieving 15% market share in the enterprise analytics space within Abu Dhabi—a 7-point increase from Q1 2023.</w:t>
      </w:r>
    </w:p>
    <w:bookmarkEnd w:id="25"/>
    <w:bookmarkStart w:id="26" w:name="X296f3c565a15ea0498b52a0386a07d583fad497"/>
    <w:p>
      <w:pPr>
        <w:pStyle w:val="Heading2"/>
      </w:pPr>
      <w:r>
        <w:t xml:space="preserve">Future Outlook: Strategic Priorities for United Arab Emirates Abu Dhabi</w:t>
      </w:r>
    </w:p>
    <w:p>
      <w:pPr>
        <w:pStyle w:val="FirstParagraph"/>
      </w:pPr>
      <w:r>
        <w:t xml:space="preserve">Based on the performance documented in this Sales Report, Astronomer will prioritize three initiatives for Abu Dhabi in 2024:</w:t>
      </w:r>
    </w:p>
    <w:p>
      <w:pPr>
        <w:numPr>
          <w:ilvl w:val="0"/>
          <w:numId w:val="1004"/>
        </w:numPr>
        <w:pStyle w:val="Compact"/>
      </w:pPr>
      <w:r>
        <w:rPr>
          <w:bCs/>
          <w:b/>
        </w:rPr>
        <w:t xml:space="preserve">Government Partnership Expansion:</w:t>
      </w:r>
      <w:r>
        <w:t xml:space="preserve"> </w:t>
      </w:r>
      <w:r>
        <w:t xml:space="preserve">Targeting additional contracts with Abu Dhabi's Digital Government Strategy (DGS) under the Ministry of Cabinet Affairs</w:t>
      </w:r>
    </w:p>
    <w:p>
      <w:pPr>
        <w:numPr>
          <w:ilvl w:val="0"/>
          <w:numId w:val="1004"/>
        </w:numPr>
        <w:pStyle w:val="Compact"/>
      </w:pPr>
      <w:r>
        <w:rPr>
          <w:bCs/>
          <w:b/>
        </w:rPr>
        <w:t xml:space="preserve">SME Enablement Program:</w:t>
      </w:r>
      <w:r>
        <w:t xml:space="preserve"> </w:t>
      </w:r>
      <w:r>
        <w:t xml:space="preserve">Launching subsidized cloud analytics packages for Abu Dhabi-based startups through the Hub71 ecosystem</w:t>
      </w:r>
    </w:p>
    <w:p>
      <w:pPr>
        <w:numPr>
          <w:ilvl w:val="0"/>
          <w:numId w:val="1004"/>
        </w:numPr>
        <w:pStyle w:val="Compact"/>
      </w:pPr>
      <w:r>
        <w:rPr>
          <w:bCs/>
          <w:b/>
        </w:rPr>
        <w:t xml:space="preserve">Sustainability Analytics Suite:</w:t>
      </w:r>
      <w:r>
        <w:t xml:space="preserve"> </w:t>
      </w:r>
      <w:r>
        <w:t xml:space="preserve">Developing new modules tracking carbon metrics in line with Abu Dhabi's Green Economy Strategy</w:t>
      </w:r>
    </w:p>
    <w:p>
      <w:pPr>
        <w:pStyle w:val="FirstParagraph"/>
      </w:pPr>
      <w:r>
        <w:t xml:space="preserve">The United Arab Emirates Abu Dhabi market remains Astronomer's most vital growth engine, with projected revenue of 65M AED for 2024—a 60% increase from 2023. Our success in this region validates the importance of deep local engagement in high-value markets. As demonstrated by this Sales Report, Astronomer's commitment to understanding Abu Dhabi's unique commercial landscape has transformed us from a global vendor into an indispensable partner for the emirate's digital future.</w:t>
      </w:r>
    </w:p>
    <w:bookmarkEnd w:id="26"/>
    <w:bookmarkStart w:id="27" w:name="conclusion"/>
    <w:p>
      <w:pPr>
        <w:pStyle w:val="Heading2"/>
      </w:pPr>
      <w:r>
        <w:t xml:space="preserve">Conclusion</w:t>
      </w:r>
    </w:p>
    <w:p>
      <w:pPr>
        <w:pStyle w:val="FirstParagraph"/>
      </w:pPr>
      <w:r>
        <w:t xml:space="preserve">This Sales Report confirms that Astronomer has successfully established itself as a premier analytics solution provider within the United Arab Emirates Abu Dhabi market. The region's strategic alignment with our platform, combined with our localized operational approach, has created a powerful growth cycle. Looking ahead, we are confident that continued investment in Abu Dhabi's innovation ecosystem will solidify Astronomer's position as the analytics partner of choice for enterprises driving the UAE's digital economy forward.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 Abu Dhabi Market</dc:title>
  <dc:creator/>
  <dc:language>en</dc:language>
  <cp:keywords/>
  <dcterms:created xsi:type="dcterms:W3CDTF">2026-07-23T22:58:39Z</dcterms:created>
  <dcterms:modified xsi:type="dcterms:W3CDTF">2026-07-23T22:58:39Z</dcterms:modified>
</cp:coreProperties>
</file>

<file path=docProps/custom.xml><?xml version="1.0" encoding="utf-8"?>
<Properties xmlns="http://schemas.openxmlformats.org/officeDocument/2006/custom-properties" xmlns:vt="http://schemas.openxmlformats.org/officeDocument/2006/docPropsVTypes"/>
</file>