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Xff660b6d0b23bcf2178e68050319a7d14c05252"/>
    <w:p>
      <w:pPr>
        <w:pStyle w:val="Heading1"/>
      </w:pPr>
      <w:r>
        <w:t xml:space="preserve">Comprehensive Sales Report: Astronomer - United Kingdom Manchester Region</w:t>
      </w:r>
    </w:p>
    <w:bookmarkStart w:id="20" w:name="executive-summary"/>
    <w:p>
      <w:pPr>
        <w:pStyle w:val="Heading2"/>
      </w:pPr>
      <w:r>
        <w:t xml:space="preserve">Executive Summary</w:t>
      </w:r>
    </w:p>
    <w:p>
      <w:pPr>
        <w:pStyle w:val="FirstParagraph"/>
      </w:pPr>
      <w:r>
        <w:t xml:space="preserve">This quarterly sales report presents an in-depth analysis of the performance for Astronomer, our cutting-edge astronomical data platform, across the United Kingdom Manchester metropolitan area. As a leading provider of advanced celestial observation and astrophotography software solutions, Astronomer has demonstrated remarkable growth in Manchester since our regional launch. This document details key metrics, market insights, strategic initiatives, and future opportunities specifically tailored for the UK's vibrant northern tech hub.</w:t>
      </w:r>
    </w:p>
    <w:bookmarkEnd w:id="20"/>
    <w:bookmarkStart w:id="22" w:name="q3-2023-performance-highlights"/>
    <w:p>
      <w:pPr>
        <w:pStyle w:val="Heading2"/>
      </w:pPr>
      <w:r>
        <w:t xml:space="preserve">Q3 2023 Performance Highlights</w:t>
      </w:r>
    </w:p>
    <w:p>
      <w:pPr>
        <w:pStyle w:val="FirstParagraph"/>
      </w:pPr>
      <w:r>
        <w:t xml:space="preserve">The Manchester region achieved a 47% year-over-year sales growth in Q3 2023, significantly outperforming the UK national average of 18%. Total revenue reached £1.85 million from over 647 enterprise and professional client acquisitions, with Manchester now representing 29% of Astronomer's entire United Kingdom sales pipeline. Notably, our flagship "StellarView Pro" analytics suite contributed to 73% of total regional revenue through strategic partnerships with the University of Manchester and the Jodrell Bank Observatory.</w:t>
      </w:r>
    </w:p>
    <w:bookmarkStart w:id="21" w:name="key-sales-metrics-breakdown"/>
    <w:p>
      <w:pPr>
        <w:pStyle w:val="Heading3"/>
      </w:pPr>
      <w:r>
        <w:t xml:space="preserve">Key Sales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Total Revenue (£)</w:t>
            </w:r>
          </w:p>
        </w:tc>
        <w:tc>
          <w:tcPr/>
          <w:p>
            <w:pPr>
              <w:pStyle w:val="Compact"/>
              <w:jc w:val="left"/>
            </w:pPr>
            <w:r>
              <w:t xml:space="preserve">1,850,000</w:t>
            </w:r>
          </w:p>
        </w:tc>
        <w:tc>
          <w:tcPr/>
          <w:p>
            <w:pPr>
              <w:pStyle w:val="Compact"/>
              <w:jc w:val="left"/>
            </w:pPr>
            <w:r>
              <w:t xml:space="preserve">1,456,732</w:t>
            </w:r>
          </w:p>
        </w:tc>
        <w:tc>
          <w:tcPr/>
          <w:p>
            <w:pPr>
              <w:pStyle w:val="Compact"/>
              <w:jc w:val="left"/>
            </w:pPr>
            <w:r>
              <w:t xml:space="preserve">+47.6%</w:t>
            </w:r>
          </w:p>
        </w:tc>
      </w:tr>
      <w:tr>
        <w:tc>
          <w:tcPr/>
          <w:p>
            <w:pPr>
              <w:pStyle w:val="Compact"/>
              <w:jc w:val="left"/>
            </w:pPr>
            <w:r>
              <w:t xml:space="preserve">New Enterprise Clients</w:t>
            </w:r>
          </w:p>
        </w:tc>
        <w:tc>
          <w:tcPr>
            <w:gridSpan w:val="2"/>
          </w:tcPr>
          <w:p>
            <w:pPr>
              <w:pStyle w:val="Compact"/>
              <w:jc w:val="left"/>
            </w:pPr>
            <w:r>
              <w:t xml:space="preserve">98</w:t>
            </w:r>
          </w:p>
        </w:tc>
        <w:tc>
          <w:tcPr/>
          <w:p>
            <w:pPr>
              <w:pStyle w:val="Compact"/>
              <w:jc w:val="left"/>
            </w:pPr>
            <w:r>
              <w:t xml:space="preserve">+52.3%</w:t>
            </w:r>
          </w:p>
        </w:tc>
      </w:tr>
      <w:tr>
        <w:tc>
          <w:tcPr/>
          <w:p>
            <w:pPr>
              <w:pStyle w:val="Compact"/>
              <w:jc w:val="left"/>
            </w:pPr>
            <w:r>
              <w:t xml:space="preserve">University/Research Contracts</w:t>
            </w:r>
          </w:p>
        </w:tc>
        <w:tc>
          <w:tcPr/>
          <w:p>
            <w:pPr>
              <w:pStyle w:val="Compact"/>
              <w:jc w:val="left"/>
            </w:pPr>
            <w:r>
              <w:t xml:space="preserve">17</w:t>
            </w:r>
          </w:p>
        </w:tc>
        <w:tc>
          <w:tcPr/>
          <w:p>
            <w:pPr>
              <w:pStyle w:val="Compact"/>
              <w:jc w:val="left"/>
            </w:pPr>
            <w:r>
              <w:t xml:space="preserve">9</w:t>
            </w:r>
          </w:p>
        </w:tc>
        <w:tc>
          <w:tcPr/>
          <w:p>
            <w:pPr>
              <w:pStyle w:val="Compact"/>
              <w:jc w:val="left"/>
            </w:pPr>
            <w:r>
              <w:t xml:space="preserve">+88.9%</w:t>
            </w:r>
          </w:p>
        </w:tc>
      </w:tr>
      <w:tr>
        <w:tc>
          <w:tcPr/>
          <w:p>
            <w:pPr>
              <w:pStyle w:val="Compact"/>
              <w:jc w:val="left"/>
            </w:pPr>
            <w:r>
              <w:t xml:space="preserve">Residential Customer Growth</w:t>
            </w:r>
          </w:p>
        </w:tc>
        <w:tc>
          <w:tcPr>
            <w:gridSpan w:val="2"/>
          </w:tcPr>
          <w:p>
            <w:pPr>
              <w:pStyle w:val="Compact"/>
              <w:jc w:val="left"/>
            </w:pPr>
            <w:r>
              <w:t xml:space="preserve">314 new users</w:t>
            </w:r>
          </w:p>
        </w:tc>
        <w:tc>
          <w:tcPr/>
          <w:p>
            <w:pPr>
              <w:pStyle w:val="Compact"/>
              <w:jc w:val="left"/>
            </w:pPr>
            <w:r>
              <w:t xml:space="preserve">+65.2%</w:t>
            </w:r>
          </w:p>
        </w:tc>
      </w:tr>
    </w:tbl>
    <w:bookmarkEnd w:id="21"/>
    <w:bookmarkEnd w:id="22"/>
    <w:bookmarkStart w:id="23" w:name="manchester-specific-market-dynamics"/>
    <w:p>
      <w:pPr>
        <w:pStyle w:val="Heading2"/>
      </w:pPr>
      <w:r>
        <w:t xml:space="preserve">Manchester-Specific Market Dynamics</w:t>
      </w:r>
    </w:p>
    <w:p>
      <w:pPr>
        <w:pStyle w:val="FirstParagraph"/>
      </w:pPr>
      <w:r>
        <w:t xml:space="preserve">The United Kingdom Manchester market has proven exceptionally receptive to Astronomer's offerings due to three strategic factors:</w:t>
      </w:r>
    </w:p>
    <w:p>
      <w:pPr>
        <w:numPr>
          <w:ilvl w:val="0"/>
          <w:numId w:val="1001"/>
        </w:numPr>
        <w:pStyle w:val="Compact"/>
      </w:pPr>
      <w:r>
        <w:rPr>
          <w:bCs/>
          <w:b/>
        </w:rPr>
        <w:t xml:space="preserve">Academic Collaboration Hub:</w:t>
      </w:r>
      <w:r>
        <w:t xml:space="preserve"> </w:t>
      </w:r>
      <w:r>
        <w:t xml:space="preserve">The University of Manchester's £140 million expansion of its Centre for Space Science directly fueled 32% of our enterprise sales, including a landmark £280,000 contract for real-time celestial event monitoring during the 2023 Perseid Meteor Shower.</w:t>
      </w:r>
    </w:p>
    <w:p>
      <w:pPr>
        <w:numPr>
          <w:ilvl w:val="0"/>
          <w:numId w:val="1001"/>
        </w:numPr>
        <w:pStyle w:val="Compact"/>
      </w:pPr>
      <w:r>
        <w:rPr>
          <w:bCs/>
          <w:b/>
        </w:rPr>
        <w:t xml:space="preserve">Urban Astronomy Movement:</w:t>
      </w:r>
      <w:r>
        <w:t xml:space="preserve"> </w:t>
      </w:r>
      <w:r>
        <w:t xml:space="preserve">Manchester's rapidly growing community of amateur astronomers (now exceeding 14,500 members via Manchester Astro Society) has driven residential subscription growth by 68% through our "City Skywatch" mobile app initiative.</w:t>
      </w:r>
    </w:p>
    <w:p>
      <w:pPr>
        <w:numPr>
          <w:ilvl w:val="0"/>
          <w:numId w:val="1001"/>
        </w:numPr>
        <w:pStyle w:val="Compact"/>
      </w:pPr>
      <w:r>
        <w:rPr>
          <w:bCs/>
          <w:b/>
        </w:rPr>
        <w:t xml:space="preserve">Tech Infrastructure Synergy:</w:t>
      </w:r>
      <w:r>
        <w:t xml:space="preserve"> </w:t>
      </w:r>
      <w:r>
        <w:t xml:space="preserve">Partnership with Greater Manchester's supercomputing cluster at the National Graphene Institute enabled Astronomer to deploy AI-powered star map visualization tools, creating a unique market differentiator unavailable elsewhere in the UK.</w:t>
      </w:r>
    </w:p>
    <w:bookmarkEnd w:id="23"/>
    <w:bookmarkStart w:id="24" w:name="regional-sales-strategy-analysis"/>
    <w:p>
      <w:pPr>
        <w:pStyle w:val="Heading2"/>
      </w:pPr>
      <w:r>
        <w:t xml:space="preserve">Regional Sales Strategy Analysis</w:t>
      </w:r>
    </w:p>
    <w:p>
      <w:pPr>
        <w:pStyle w:val="FirstParagraph"/>
      </w:pPr>
      <w:r>
        <w:t xml:space="preserve">Astronomer's Manchester team implemented three region-specific initiatives that directly contributed to our performance:</w:t>
      </w:r>
    </w:p>
    <w:p>
      <w:pPr>
        <w:numPr>
          <w:ilvl w:val="0"/>
          <w:numId w:val="1002"/>
        </w:numPr>
        <w:pStyle w:val="Compact"/>
      </w:pPr>
      <w:r>
        <w:rPr>
          <w:bCs/>
          <w:b/>
        </w:rPr>
        <w:t xml:space="preserve">Manchester Observatory Partnership Program:</w:t>
      </w:r>
      <w:r>
        <w:t xml:space="preserve"> </w:t>
      </w:r>
      <w:r>
        <w:t xml:space="preserve">Co-developed with the city's historic Manchester Cathedral Astronomical Society, this program provides free training sessions for 300+ local educators, converting 41% of attendees into district-level school contracts.</w:t>
      </w:r>
    </w:p>
    <w:p>
      <w:pPr>
        <w:numPr>
          <w:ilvl w:val="0"/>
          <w:numId w:val="1002"/>
        </w:numPr>
        <w:pStyle w:val="Compact"/>
      </w:pPr>
      <w:r>
        <w:rPr>
          <w:bCs/>
          <w:b/>
        </w:rPr>
        <w:t xml:space="preserve">Riverfront Tech Hub Pop-Up Events:</w:t>
      </w:r>
      <w:r>
        <w:t xml:space="preserve"> </w:t>
      </w:r>
      <w:r>
        <w:t xml:space="preserve">Quarterly demonstrations at Manchester City Centre's River District attracted over 2,300 potential clients in Q3 alone, generating £567k in immediate pipeline opportunities.</w:t>
      </w:r>
    </w:p>
    <w:p>
      <w:pPr>
        <w:numPr>
          <w:ilvl w:val="0"/>
          <w:numId w:val="1002"/>
        </w:numPr>
        <w:pStyle w:val="Compact"/>
      </w:pPr>
      <w:r>
        <w:rPr>
          <w:bCs/>
          <w:b/>
        </w:rPr>
        <w:t xml:space="preserve">Local Talent Acquisition Drive:</w:t>
      </w:r>
      <w:r>
        <w:t xml:space="preserve"> </w:t>
      </w:r>
      <w:r>
        <w:t xml:space="preserve">Our new Manchester-based sales team (now 18 members) has reduced customer response times by 64% through hyper-local market knowledge, with all hires coming from Greater Manchester universities.</w:t>
      </w:r>
    </w:p>
    <w:bookmarkEnd w:id="24"/>
    <w:bookmarkStart w:id="25" w:name="competitive-landscape-assessment"/>
    <w:p>
      <w:pPr>
        <w:pStyle w:val="Heading2"/>
      </w:pPr>
      <w:r>
        <w:t xml:space="preserve">Competitive Landscape Assessment</w:t>
      </w:r>
    </w:p>
    <w:p>
      <w:pPr>
        <w:pStyle w:val="FirstParagraph"/>
      </w:pPr>
      <w:r>
        <w:t xml:space="preserve">In the United Kingdom Manchester market, Astronomer maintains a commanding 63% market share against competitors like AstroTools and SkyMapper. The key differentiator has been our region-specific adaptation of features:</w:t>
      </w:r>
    </w:p>
    <w:p>
      <w:pPr>
        <w:pStyle w:val="BlockText"/>
      </w:pPr>
      <w:r>
        <w:t xml:space="preserve">"While other platforms offer generic celestial data, Astronomer's Manchester Weather Integration Module predicts atmospheric conditions with 92% accuracy for the city's unique microclimate—critical for our professional users," noted Sarah Chen, Manchester Regional Sales Director.</w:t>
      </w:r>
    </w:p>
    <w:bookmarkEnd w:id="25"/>
    <w:bookmarkStart w:id="26" w:name="challenges-and-mitigation-strategies"/>
    <w:p>
      <w:pPr>
        <w:pStyle w:val="Heading2"/>
      </w:pPr>
      <w:r>
        <w:t xml:space="preserve">Challenges and Mitigation Strategies</w:t>
      </w:r>
    </w:p>
    <w:p>
      <w:pPr>
        <w:pStyle w:val="FirstParagraph"/>
      </w:pPr>
      <w:r>
        <w:t xml:space="preserve">Two primary challenges emerged in Q3 that we're addressing through targeted actions:</w:t>
      </w:r>
    </w:p>
    <w:p>
      <w:pPr>
        <w:numPr>
          <w:ilvl w:val="0"/>
          <w:numId w:val="1003"/>
        </w:numPr>
        <w:pStyle w:val="Compact"/>
      </w:pPr>
      <w:r>
        <w:rPr>
          <w:bCs/>
          <w:b/>
        </w:rPr>
        <w:t xml:space="preserve">Supply Chain Delays for Hardware Accessories:</w:t>
      </w:r>
      <w:r>
        <w:t xml:space="preserve"> </w:t>
      </w:r>
      <w:r>
        <w:t xml:space="preserve">Increased component costs from Asian suppliers affected our bundled telescope accessory kits. *Mitigation:* Partnered with local Manchester manufacturer Precision Optics for 70% of hardware components, reducing delivery times by 82%.</w:t>
      </w:r>
    </w:p>
    <w:p>
      <w:pPr>
        <w:numPr>
          <w:ilvl w:val="0"/>
          <w:numId w:val="1003"/>
        </w:numPr>
        <w:pStyle w:val="Compact"/>
      </w:pPr>
      <w:r>
        <w:rPr>
          <w:bCs/>
          <w:b/>
        </w:rPr>
        <w:t xml:space="preserve">Competitor Price Wars in Residential Segment:</w:t>
      </w:r>
      <w:r>
        <w:t xml:space="preserve"> </w:t>
      </w:r>
      <w:r>
        <w:t xml:space="preserve">A new low-cost competitor undercutting our entry-level packages. *Mitigation:* Launched "Manchester Starlight" tier with exclusive local observatory access—increasing average revenue per user (ARPU) by 37% while retaining price competitiveness.</w:t>
      </w:r>
    </w:p>
    <w:bookmarkEnd w:id="26"/>
    <w:bookmarkStart w:id="27" w:name="forward-looking-opportunities"/>
    <w:p>
      <w:pPr>
        <w:pStyle w:val="Heading2"/>
      </w:pPr>
      <w:r>
        <w:t xml:space="preserve">Forward-Looking Opportunities</w:t>
      </w:r>
    </w:p>
    <w:p>
      <w:pPr>
        <w:pStyle w:val="FirstParagraph"/>
      </w:pPr>
      <w:r>
        <w:t xml:space="preserve">Based on Manchester's trajectory, we've identified three high-potential growth avenues for the United Kingdom Manchester market:</w:t>
      </w:r>
    </w:p>
    <w:p>
      <w:pPr>
        <w:numPr>
          <w:ilvl w:val="0"/>
          <w:numId w:val="1004"/>
        </w:numPr>
        <w:pStyle w:val="Compact"/>
      </w:pPr>
      <w:r>
        <w:rPr>
          <w:bCs/>
          <w:b/>
        </w:rPr>
        <w:t xml:space="preserve">Manchester Space Innovation Fund:</w:t>
      </w:r>
      <w:r>
        <w:t xml:space="preserve"> </w:t>
      </w:r>
      <w:r>
        <w:t xml:space="preserve">Targeting £5M in partnerships with local venture capital firms to co-develop next-generation exoplanet detection tools for Manchester-based startups.</w:t>
      </w:r>
    </w:p>
    <w:p>
      <w:pPr>
        <w:numPr>
          <w:ilvl w:val="0"/>
          <w:numId w:val="1004"/>
        </w:numPr>
        <w:pStyle w:val="Compact"/>
      </w:pPr>
      <w:r>
        <w:rPr>
          <w:bCs/>
          <w:b/>
        </w:rPr>
        <w:t xml:space="preserve">Metro Transit Astronomy Integration:</w:t>
      </w:r>
      <w:r>
        <w:t xml:space="preserve"> </w:t>
      </w:r>
      <w:r>
        <w:t xml:space="preserve">Proposing real-time celestial data displays at Manchester Metrolink stations, creating both new revenue streams and community engagement opportunities.</w:t>
      </w:r>
    </w:p>
    <w:p>
      <w:pPr>
        <w:numPr>
          <w:ilvl w:val="0"/>
          <w:numId w:val="1004"/>
        </w:numPr>
        <w:pStyle w:val="Compact"/>
      </w:pPr>
      <w:r>
        <w:rPr>
          <w:bCs/>
          <w:b/>
        </w:rPr>
        <w:t xml:space="preserve">Regional Expansion into Greater Manchester:</w:t>
      </w:r>
      <w:r>
        <w:t xml:space="preserve"> </w:t>
      </w:r>
      <w:r>
        <w:t xml:space="preserve">Launching dedicated sales teams for Salford, Trafford and Oldham this Q4 to capture the 22% market share currently served from central Manchester office.</w:t>
      </w:r>
    </w:p>
    <w:bookmarkEnd w:id="27"/>
    <w:bookmarkStart w:id="29" w:name="conclusion"/>
    <w:p>
      <w:pPr>
        <w:pStyle w:val="Heading2"/>
      </w:pPr>
      <w:r>
        <w:t xml:space="preserve">Conclusion</w:t>
      </w:r>
    </w:p>
    <w:p>
      <w:pPr>
        <w:pStyle w:val="FirstParagraph"/>
      </w:pPr>
      <w:r>
        <w:t xml:space="preserve">The United Kingdom Manchester region has emerged as Astronomer's most dynamic market in the UK, demonstrating how localized sales strategies can drive exceptional results. Our deep integration with Manchester's academic institutions, tech ecosystem and astronomical community has created a self-reinforcing growth cycle that other regions are actively trying to replicate. As we position for 2024, Manchester will serve as our North West headquarters for all UK operations—with the goal of expanding our regional market share to 38% by Q1 2024.</w:t>
      </w:r>
    </w:p>
    <w:p>
      <w:pPr>
        <w:pStyle w:val="BodyText"/>
      </w:pPr>
      <w:r>
        <w:t xml:space="preserve">This Sales Report underscores Astronomer's commitment to delivering tailored astronomical solutions that resonate with Manchester's unique scientific culture. The success in this city proves that when technology aligns with local needs—especially in a forward-thinking hub like United Kingdom Manchester—the results can be truly stellar. We're confident that this momentum will continue to drive Astronomer toward becoming the definitive platform for astronomical data across the entire United Kingdom.</w:t>
      </w:r>
    </w:p>
    <w:bookmarkStart w:id="28" w:name="Xa37b5fba1ae6ee459c4fa6ece4f189c25f6cd50"/>
    <w:p>
      <w:pPr>
        <w:pStyle w:val="Heading3"/>
      </w:pPr>
      <w:r>
        <w:t xml:space="preserve">Prepared By: Astronomer Regional Sales Intelligence Team</w:t>
      </w:r>
    </w:p>
    <w:p>
      <w:pPr>
        <w:pStyle w:val="FirstParagraph"/>
      </w:pPr>
      <w:r>
        <w:t xml:space="preserve">Date: October 26, 2023 | For Internal Use Only | Manchester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United Kingdom Manchester</dc:title>
  <dc:creator/>
  <dc:language>en</dc:language>
  <cp:keywords/>
  <dcterms:created xsi:type="dcterms:W3CDTF">2026-07-24T09:58:44Z</dcterms:created>
  <dcterms:modified xsi:type="dcterms:W3CDTF">2026-07-24T09:58:44Z</dcterms:modified>
</cp:coreProperties>
</file>

<file path=docProps/custom.xml><?xml version="1.0" encoding="utf-8"?>
<Properties xmlns="http://schemas.openxmlformats.org/officeDocument/2006/custom-properties" xmlns:vt="http://schemas.openxmlformats.org/officeDocument/2006/docPropsVTypes"/>
</file>