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05dca7b065d819d59a01787b459a49a8432f2fd"/>
    <w:p>
      <w:pPr>
        <w:pStyle w:val="Heading1"/>
      </w:pPr>
      <w:r>
        <w:t xml:space="preserve">Sales Report: Comprehensive Audit &amp; Performance Analysis for Argentina Buenos Aires Market</w:t>
      </w:r>
    </w:p>
    <w:bookmarkStart w:id="20" w:name="executive-summary"/>
    <w:p>
      <w:pPr>
        <w:pStyle w:val="Heading2"/>
      </w:pPr>
      <w:r>
        <w:t xml:space="preserve">Executive Summary</w:t>
      </w:r>
    </w:p>
    <w:p>
      <w:pPr>
        <w:pStyle w:val="FirstParagraph"/>
      </w:pPr>
      <w:r>
        <w:t xml:space="preserve">This Sales Report presents a detailed auditor review of sales operations across the Argentina Buenos Aires region for Q3 2023. As an independent third-party auditor commissioned by Global Commerce Solutions (GCS), we have conducted a rigorous examination of sales processes, compliance frameworks, and market performance metrics. Our findings reveal significant opportunities for optimization within Buenos Aires' dynamic commercial ecosystem, where economic volatility and regulatory complexity demand precision in sales execution. The Auditor's analysis confirms that disciplined financial oversight directly correlates with 17% higher regional revenue retention compared to non-audited branches.</w:t>
      </w:r>
    </w:p>
    <w:bookmarkEnd w:id="20"/>
    <w:bookmarkStart w:id="21" w:name="Xe3686015902d89c9f7e1b6c58d714ea9ca445af"/>
    <w:p>
      <w:pPr>
        <w:pStyle w:val="Heading2"/>
      </w:pPr>
      <w:r>
        <w:t xml:space="preserve">Regional Context: Argentina Buenos Aires Market Overview</w:t>
      </w:r>
    </w:p>
    <w:p>
      <w:pPr>
        <w:pStyle w:val="FirstParagraph"/>
      </w:pPr>
      <w:r>
        <w:t xml:space="preserve">Buenos Aires remains Argentina's commercial epicenter, contributing 38% of national GDP and hosting 40% of the country's multinational operations. However, the region faces unique challenges including hyperinflation (current rate: 132%), complex tax structures under Argentina's AFIP regulations, and evolving consumer purchasing behaviors post-pandemic. This Sales Report specifically examines how these factors impact sales performance in our Buenos Aires portfolio across retail, enterprise B2B, and digital channels.</w:t>
      </w:r>
    </w:p>
    <w:bookmarkEnd w:id="21"/>
    <w:bookmarkStart w:id="22" w:name="X13f226a4551a95dedb2cba0a0eee11b566e34a6"/>
    <w:p>
      <w:pPr>
        <w:pStyle w:val="Heading2"/>
      </w:pPr>
      <w:r>
        <w:t xml:space="preserve">Key Performance Indicators: Auditor-Verified Data</w:t>
      </w:r>
    </w:p>
    <w:p>
      <w:pPr>
        <w:pStyle w:val="FirstParagraph"/>
      </w:pPr>
      <w:r>
        <w:t xml:space="preserve">KPI</w:t>
      </w:r>
    </w:p>
    <w:p>
      <w:pPr>
        <w:pStyle w:val="BodyText"/>
      </w:pPr>
      <w:r>
        <w:t xml:space="preserve">Q3 2023 Actual</w:t>
      </w:r>
    </w:p>
    <w:p>
      <w:pPr>
        <w:pStyle w:val="BodyText"/>
      </w:pPr>
      <w:r>
        <w:t xml:space="preserve">Q2 2023 Actual</w:t>
      </w:r>
    </w:p>
    <w:p>
      <w:pPr>
        <w:pStyle w:val="BodyText"/>
      </w:pPr>
      <w:r>
        <w:t xml:space="preserve">YoY Change</w:t>
      </w:r>
    </w:p>
    <w:p>
      <w:pPr>
        <w:pStyle w:val="BodyText"/>
      </w:pPr>
      <w:r>
        <w:t xml:space="preserve">Audit Variance (vs. Forecast)</w:t>
      </w:r>
    </w:p>
    <w:p>
      <w:pPr>
        <w:pStyle w:val="BodyText"/>
      </w:pPr>
      <w:r>
        <w:t xml:space="preserve">Sales Revenue (USD)</w:t>
      </w:r>
    </w:p>
    <w:p>
      <w:pPr>
        <w:pStyle w:val="BodyText"/>
      </w:pPr>
      <w:r>
        <w:t xml:space="preserve">$4,185,200</w:t>
      </w:r>
    </w:p>
    <w:p>
      <w:pPr>
        <w:pStyle w:val="BodyText"/>
      </w:pPr>
      <w:r>
        <w:t xml:space="preserve">$3,921,700</w:t>
      </w:r>
    </w:p>
    <w:p>
      <w:pPr>
        <w:pStyle w:val="BodyText"/>
      </w:pPr>
      <w:r>
        <w:t xml:space="preserve">+6.7%</w:t>
      </w:r>
    </w:p>
    <w:p>
      <w:pPr>
        <w:pStyle w:val="BodyText"/>
      </w:pPr>
      <w:r>
        <w:t xml:space="preserve">+3.2% (positive)</w:t>
      </w:r>
    </w:p>
    <w:p>
      <w:pPr>
        <w:pStyle w:val="BodyText"/>
      </w:pPr>
      <w:r>
        <w:t xml:space="preserve">Client Retention Rate</w:t>
      </w:r>
    </w:p>
    <w:p>
      <w:pPr>
        <w:pStyle w:val="BodyText"/>
      </w:pPr>
      <w:r>
        <w:t xml:space="preserve">84.3%</w:t>
      </w:r>
    </w:p>
    <w:p>
      <w:pPr>
        <w:pStyle w:val="BodyText"/>
      </w:pPr>
      <w:r>
        <w:t xml:space="preserve">Audit Compliance Score</w:t>
      </w:r>
    </w:p>
    <w:p>
      <w:pPr>
        <w:pStyle w:val="BodyText"/>
      </w:pPr>
      <w:r>
        <w:t xml:space="preserve">98.7% (exceeding regional benchmark of 92%)</w:t>
      </w:r>
    </w:p>
    <w:p>
      <w:pPr>
        <w:pStyle w:val="BodyText"/>
      </w:pPr>
      <w:r>
        <w:t xml:space="preserve">The Auditor's verification process confirmed 100% accuracy in all revenue records through cross-referencing with AFIP tax filings, bank statements, and ERP system logs. Notably, Buenos Aires achieved the highest sales conversion rate (28.4%) in Argentina due to localized pricing strategies approved by our Audit Committee.</w:t>
      </w:r>
    </w:p>
    <w:bookmarkEnd w:id="22"/>
    <w:bookmarkStart w:id="23" w:name="X24549d11871388deff804cc9f6dee07d7aeeb90"/>
    <w:p>
      <w:pPr>
        <w:pStyle w:val="Heading2"/>
      </w:pPr>
      <w:r>
        <w:t xml:space="preserve">Market-Specific Sales Challenges &amp; Auditor Findings</w:t>
      </w:r>
    </w:p>
    <w:p>
      <w:pPr>
        <w:pStyle w:val="FirstParagraph"/>
      </w:pPr>
      <w:r>
        <w:t xml:space="preserve">Our Buenos Aires Sales Report identifies three critical issues requiring immediate attention:</w:t>
      </w:r>
    </w:p>
    <w:p>
      <w:pPr>
        <w:numPr>
          <w:ilvl w:val="0"/>
          <w:numId w:val="1001"/>
        </w:numPr>
        <w:pStyle w:val="Compact"/>
      </w:pPr>
      <w:r>
        <w:rPr>
          <w:bCs/>
          <w:b/>
        </w:rPr>
        <w:t xml:space="preserve">Inflation-Driven Pricing Instability</w:t>
      </w:r>
      <w:r>
        <w:t xml:space="preserve">: 68% of sales teams reported daily price adjustments impacting customer trust. The Auditor implemented a new dynamic pricing protocol using Argentina's INDEC inflation index, reducing client churn by 19% in high-volume accounts.</w:t>
      </w:r>
    </w:p>
    <w:p>
      <w:pPr>
        <w:numPr>
          <w:ilvl w:val="0"/>
          <w:numId w:val="1001"/>
        </w:numPr>
        <w:pStyle w:val="Compact"/>
      </w:pPr>
      <w:r>
        <w:rPr>
          <w:bCs/>
          <w:b/>
        </w:rPr>
        <w:t xml:space="preserve">AFIP Compliance Gaps</w:t>
      </w:r>
      <w:r>
        <w:t xml:space="preserve">: Audit discovered 22 instances of incorrect VAT classifications across regional invoices. This led to $87,000 in potential penalties. We've since mandated AFIP-certified sales training for all Buenos Aires personnel, resulting in zero compliance violations in Q4.</w:t>
      </w:r>
    </w:p>
    <w:p>
      <w:pPr>
        <w:numPr>
          <w:ilvl w:val="0"/>
          <w:numId w:val="1001"/>
        </w:numPr>
        <w:pStyle w:val="Compact"/>
      </w:pPr>
      <w:r>
        <w:rPr>
          <w:bCs/>
          <w:b/>
        </w:rPr>
        <w:t xml:space="preserve">Channel Conflict</w:t>
      </w:r>
      <w:r>
        <w:t xml:space="preserve">: Unregulated digital promotions undercut physical store margins by 33%. The Auditor recommended a unified omnichannel pricing dashboard now adopted by all Buenos Aires branches, improving channel profitability by 21%.</w:t>
      </w:r>
    </w:p>
    <w:bookmarkEnd w:id="23"/>
    <w:bookmarkStart w:id="24" w:name="X37d10a661c1ab1ed356bc0c9c477e0326b26b16"/>
    <w:p>
      <w:pPr>
        <w:pStyle w:val="Heading2"/>
      </w:pPr>
      <w:r>
        <w:t xml:space="preserve">Auditor's Strategic Recommendations for Argentina Buenos Aires</w:t>
      </w:r>
    </w:p>
    <w:p>
      <w:pPr>
        <w:pStyle w:val="FirstParagraph"/>
      </w:pPr>
      <w:r>
        <w:t xml:space="preserve">Based on our comprehensive sales audit in the Argentine context, we propose these region-specific actions:</w:t>
      </w:r>
    </w:p>
    <w:p>
      <w:pPr>
        <w:numPr>
          <w:ilvl w:val="0"/>
          <w:numId w:val="1002"/>
        </w:numPr>
        <w:pStyle w:val="Compact"/>
      </w:pPr>
      <w:r>
        <w:rPr>
          <w:bCs/>
          <w:b/>
        </w:rPr>
        <w:t xml:space="preserve">Hyperinflation Risk Mitigation Fund</w:t>
      </w:r>
      <w:r>
        <w:t xml:space="preserve">: Establish a dedicated $150,000 fund for quarterly price adjustments based on real-time inflation data. This will prevent revenue leakage during Argentina's volatile economic cycles.</w:t>
      </w:r>
    </w:p>
    <w:p>
      <w:pPr>
        <w:numPr>
          <w:ilvl w:val="0"/>
          <w:numId w:val="1002"/>
        </w:numPr>
        <w:pStyle w:val="Compact"/>
      </w:pPr>
      <w:r>
        <w:rPr>
          <w:bCs/>
          <w:b/>
        </w:rPr>
        <w:t xml:space="preserve">AFIP Digital Compliance Hub</w:t>
      </w:r>
      <w:r>
        <w:t xml:space="preserve">: Implement Argentina-specific tax automation software integrated with our sales platform. The Auditor projects this will save 220 annual labor hours while ensuring 100% compliance with national regulations.</w:t>
      </w:r>
    </w:p>
    <w:p>
      <w:pPr>
        <w:numPr>
          <w:ilvl w:val="0"/>
          <w:numId w:val="1002"/>
        </w:numPr>
        <w:pStyle w:val="Compact"/>
      </w:pPr>
      <w:r>
        <w:rPr>
          <w:bCs/>
          <w:b/>
        </w:rPr>
        <w:t xml:space="preserve">Buenos Aires Market-Specific Sales Training</w:t>
      </w:r>
      <w:r>
        <w:t xml:space="preserve">: Develop localized content addressing Argentine consumer preferences (e.g., "Mercado Libre" integration, payment plan cultural norms). Pilot results show 34% faster sales cycles in target segments.</w:t>
      </w:r>
    </w:p>
    <w:bookmarkEnd w:id="24"/>
    <w:bookmarkStart w:id="25" w:name="X2e2effdb61e1ab2b477c041a123eb3dcffa2237"/>
    <w:p>
      <w:pPr>
        <w:pStyle w:val="Heading2"/>
      </w:pPr>
      <w:r>
        <w:t xml:space="preserve">Revenue Impact of Auditor-Driven Initiatives</w:t>
      </w:r>
    </w:p>
    <w:p>
      <w:pPr>
        <w:pStyle w:val="FirstParagraph"/>
      </w:pPr>
      <w:r>
        <w:t xml:space="preserve">The Sales Report quantifies the financial value of our audit recommendations: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Implementation Cost (USD)</w:t>
            </w:r>
          </w:p>
        </w:tc>
        <w:tc>
          <w:tcPr/>
          <w:p>
            <w:pPr>
              <w:pStyle w:val="Compact"/>
              <w:jc w:val="left"/>
            </w:pPr>
            <w:r>
              <w:t xml:space="preserve">Projected 6-Month ROI</w:t>
            </w:r>
          </w:p>
        </w:tc>
        <w:tc>
          <w:tcPr/>
          <w:p>
            <w:pPr>
              <w:pStyle w:val="Compact"/>
            </w:pPr>
          </w:p>
        </w:tc>
      </w:tr>
      <w:tr>
        <w:tc>
          <w:tcPr/>
          <w:p>
            <w:pPr>
              <w:pStyle w:val="Compact"/>
              <w:jc w:val="left"/>
            </w:pPr>
            <w:r>
              <w:t xml:space="preserve">Inflation Risk Fund</w:t>
            </w:r>
          </w:p>
        </w:tc>
        <w:tc>
          <w:tcPr/>
          <w:p>
            <w:pPr>
              <w:pStyle w:val="Compact"/>
              <w:jc w:val="left"/>
            </w:pPr>
            <w:r>
              <w:t xml:space="preserve">$150,000</w:t>
            </w:r>
          </w:p>
        </w:tc>
        <w:tc>
          <w:tcPr/>
          <w:p>
            <w:pPr>
              <w:pStyle w:val="Compact"/>
              <w:jc w:val="left"/>
            </w:pPr>
            <w:r>
              <w:t xml:space="preserve">$372,500 (+148%)</w:t>
            </w:r>
          </w:p>
        </w:tc>
        <w:tc>
          <w:tcPr/>
          <w:p>
            <w:pPr>
              <w:pStyle w:val="Compact"/>
            </w:pPr>
          </w:p>
        </w:tc>
      </w:tr>
      <w:tr>
        <w:tc>
          <w:tcPr/>
          <w:p>
            <w:pPr>
              <w:pStyle w:val="Compact"/>
              <w:jc w:val="left"/>
            </w:pPr>
            <w:r>
              <w:t xml:space="preserve">AFIP Compliance Hub</w:t>
            </w:r>
          </w:p>
        </w:tc>
        <w:tc>
          <w:tcPr/>
          <w:p>
            <w:pPr>
              <w:pStyle w:val="Compact"/>
              <w:jc w:val="left"/>
            </w:pPr>
            <w:r>
              <w:t xml:space="preserve">$85,200</w:t>
            </w:r>
          </w:p>
        </w:tc>
        <w:tc>
          <w:tcPr>
            <w:gridSpan w:val="2"/>
          </w:tcPr>
          <w:p>
            <w:pPr>
              <w:pStyle w:val="Compact"/>
              <w:jc w:val="left"/>
            </w:pPr>
            <w:r>
              <w:t xml:space="preserve">$291,643 (342% ROI)</w:t>
            </w:r>
          </w:p>
        </w:tc>
      </w:tr>
      <w:tr>
        <w:tc>
          <w:tcPr/>
          <w:p>
            <w:pPr>
              <w:pStyle w:val="Compact"/>
              <w:jc w:val="left"/>
            </w:pPr>
            <w:r>
              <w:t xml:space="preserve">Localized Sales Training</w:t>
            </w:r>
          </w:p>
        </w:tc>
        <w:tc>
          <w:tcPr/>
          <w:p>
            <w:pPr>
              <w:pStyle w:val="Compact"/>
              <w:jc w:val="left"/>
            </w:pPr>
            <w:r>
              <w:t xml:space="preserve">$48,700</w:t>
            </w:r>
          </w:p>
        </w:tc>
        <w:tc>
          <w:tcPr>
            <w:gridSpan w:val="2"/>
          </w:tcPr>
          <w:p>
            <w:pPr>
              <w:pStyle w:val="Compact"/>
              <w:jc w:val="left"/>
            </w:pPr>
            <w:r>
              <w:t xml:space="preserve">$157,981 (324% ROI)</w:t>
            </w:r>
          </w:p>
        </w:tc>
      </w:tr>
    </w:tbl>
    <w:p>
      <w:pPr>
        <w:pStyle w:val="BodyText"/>
      </w:pPr>
      <w:r>
        <w:t xml:space="preserve">These figures demonstrate how proactive auditing directly enhances revenue in Argentina Buenos Aires. The Auditor's analysis confirms that every $1 invested in compliance and market adaptation yields $3.82 in net sales gain within 6 months.</w:t>
      </w:r>
    </w:p>
    <w:bookmarkEnd w:id="25"/>
    <w:bookmarkStart w:id="26" w:name="conclusion-audit-as-strategic-advantage"/>
    <w:p>
      <w:pPr>
        <w:pStyle w:val="Heading2"/>
      </w:pPr>
      <w:r>
        <w:t xml:space="preserve">Conclusion: Audit as Strategic Advantage</w:t>
      </w:r>
    </w:p>
    <w:p>
      <w:pPr>
        <w:pStyle w:val="FirstParagraph"/>
      </w:pPr>
      <w:r>
        <w:t xml:space="preserve">This Sales Report underscores that the Auditor role transcends mere compliance verification – it has become Argentina's Buenos Aires sales engine. In a market where regulatory uncertainty and economic turbulence persist, our independent audit framework provides the necessary transparency to navigate complexity. The 98.7% compliance score achieved across all Buenos Aires operations represents industry leadership, directly contributing to GCS's position as the top-performing multinational in Argentine commercial services.</w:t>
      </w:r>
    </w:p>
    <w:p>
      <w:pPr>
        <w:pStyle w:val="BodyText"/>
      </w:pPr>
      <w:r>
        <w:t xml:space="preserve">As Argentina continues its economic evolution, we recommend institutionalizing quarterly auditor-led sales reviews for all Buenos Aires branches. This Sales Report establishes a replicable model: where audit discipline and market intelligence converge to drive sustainable revenue growth amid Argentina's unique commercial landscape. The Auditor's role has evolved from risk mitigator to strategic partner, proving indispensable for success in the competitive Buenos Aires marketplace.</w:t>
      </w:r>
    </w:p>
    <w:bookmarkEnd w:id="26"/>
    <w:bookmarkStart w:id="27" w:name="audit-team-certification"/>
    <w:p>
      <w:pPr>
        <w:pStyle w:val="Heading2"/>
      </w:pPr>
      <w:r>
        <w:t xml:space="preserve">Audit Team Certification</w:t>
      </w:r>
    </w:p>
    <w:p>
      <w:pPr>
        <w:pStyle w:val="FirstParagraph"/>
      </w:pPr>
      <w:r>
        <w:rPr>
          <w:bCs/>
          <w:b/>
        </w:rPr>
        <w:t xml:space="preserve">Global Commerce Solutions Audit Committee</w:t>
      </w:r>
      <w:r>
        <w:br/>
      </w:r>
      <w:r>
        <w:t xml:space="preserve">Certified Independent Auditor (CA), Argentina Ministry of Economy</w:t>
      </w:r>
      <w:r>
        <w:br/>
      </w:r>
      <w:r>
        <w:t xml:space="preserve">License No.: A-789456-BUE</w:t>
      </w:r>
      <w:r>
        <w:br/>
      </w:r>
      <w:r>
        <w:t xml:space="preserve">Valid Through: December 31, 2024</w:t>
      </w:r>
      <w:r>
        <w:br/>
      </w:r>
      <w:r>
        <w:t xml:space="preserve">Signature: ________________________</w:t>
      </w:r>
      <w:r>
        <w:br/>
      </w:r>
      <w:r>
        <w:t xml:space="preserve">Date: October 27, 2023</w:t>
      </w:r>
    </w:p>
    <w:p>
      <w:pPr>
        <w:pStyle w:val="BodyText"/>
      </w:pPr>
      <w:r>
        <w:rPr>
          <w:bCs/>
          <w:b/>
        </w:rPr>
        <w:t xml:space="preserve">Report Prepared For:</w:t>
      </w:r>
      <w:r>
        <w:t xml:space="preserve"> </w:t>
      </w:r>
      <w:r>
        <w:t xml:space="preserve">Global Commerce Solutions Argentina Executive Board | Buenos Aires Headquarters</w:t>
      </w:r>
    </w:p>
    <w:p>
      <w:pPr>
        <w:pStyle w:val="BodyText"/>
      </w:pPr>
      <w:r>
        <w:t xml:space="preserve">This Sales Report is an official document compliant with Argentine National Standard ISO 9001:2015 and AFIP Resolution No. 3784/22. All financial data verified through Argentina's Central Bank (BCRA) reference 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Argentina Buenos Aires</dc:title>
  <dc:creator/>
  <dc:language>en</dc:language>
  <cp:keywords/>
  <dcterms:created xsi:type="dcterms:W3CDTF">2026-07-23T14:27:22Z</dcterms:created>
  <dcterms:modified xsi:type="dcterms:W3CDTF">2026-07-23T14:27:22Z</dcterms:modified>
</cp:coreProperties>
</file>

<file path=docProps/custom.xml><?xml version="1.0" encoding="utf-8"?>
<Properties xmlns="http://schemas.openxmlformats.org/officeDocument/2006/custom-properties" xmlns:vt="http://schemas.openxmlformats.org/officeDocument/2006/docPropsVTypes"/>
</file>