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Auditor</w:t>
      </w:r>
      <w:r>
        <w:t xml:space="preserve"> </w:t>
      </w:r>
      <w:r>
        <w:t xml:space="preserve">Analysis:</w:t>
      </w:r>
      <w:r>
        <w:t xml:space="preserve"> </w:t>
      </w:r>
      <w:r>
        <w:t xml:space="preserve">Argentina</w:t>
      </w:r>
      <w:r>
        <w:t xml:space="preserve"> </w:t>
      </w:r>
      <w:r>
        <w:t xml:space="preserve">Córdoba</w:t>
      </w:r>
      <w:r>
        <w:t xml:space="preserve"> </w:t>
      </w:r>
      <w:r>
        <w:t xml:space="preserve">Market</w:t>
      </w:r>
      <w:r>
        <w:t xml:space="preserve"> </w:t>
      </w:r>
      <w:r>
        <w:t xml:space="preserve">Performance</w:t>
      </w:r>
    </w:p>
    <w:bookmarkStart w:id="29" w:name="X4ea1fa4d928c8773e4ba6ce1140e5ad05329c8c"/>
    <w:p>
      <w:pPr>
        <w:pStyle w:val="Heading1"/>
      </w:pPr>
      <w:r>
        <w:t xml:space="preserve">Sales Report: Comprehensive Auditor Analysis of Argentina Córdoba Market Performance</w:t>
      </w:r>
    </w:p>
    <w:bookmarkStart w:id="20" w:name="X7f853d2d7ef7d01ac171c9b11eb945e2d0d58d4"/>
    <w:p>
      <w:pPr>
        <w:pStyle w:val="Heading2"/>
      </w:pPr>
      <w:r>
        <w:t xml:space="preserve">Introduction to the Sales Report and Auditor's Role</w:t>
      </w:r>
    </w:p>
    <w:p>
      <w:pPr>
        <w:pStyle w:val="FirstParagraph"/>
      </w:pPr>
      <w:r>
        <w:t xml:space="preserve">This formal Sales Report presents a meticulous auditor's analysis of commercial performance across the Córdoba province in Argentina. Prepared by our certified internal audit team, this document serves as an essential strategic tool for stakeholders navigating Argentina Córdoba's dynamic economic landscape. As an independent Auditor, our firm has conducted a rigorous examination of sales data spanning Q1 to Q3 2023, covering all major commercial channels and industry segments within the Córdoba region. The findings herein reflect not merely transactional metrics but critical insights into operational integrity, market positioning, and growth opportunities unique to Argentina's second-largest economic hub.</w:t>
      </w:r>
    </w:p>
    <w:bookmarkEnd w:id="20"/>
    <w:bookmarkStart w:id="21" w:name="methodology-auditor-verification-process"/>
    <w:p>
      <w:pPr>
        <w:pStyle w:val="Heading2"/>
      </w:pPr>
      <w:r>
        <w:t xml:space="preserve">Methodology: Auditor Verification Process</w:t>
      </w:r>
    </w:p>
    <w:p>
      <w:pPr>
        <w:pStyle w:val="FirstParagraph"/>
      </w:pPr>
      <w:r>
        <w:t xml:space="preserve">Our Auditor team employed a dual-track verification approach tailored for the Argentina Córdoba context. First, we cross-referenced digital sales platforms (including local ERP systems like SAP and Oracle) with physical point-of-sale records from 147 retail locations across Córdoba's metropolitan area and key secondary cities (Rosario de la Frontera, Villa María, Río Cuarto). Second, we conducted surprise field audits at 32 high-volume commercial sites to validate invoice accuracy and inventory reconciliation – a critical procedure given Argentina's complex tax environment. All data underwent forensic verification against AFIP (Argentine Federal Administration of Public Revenue) records and provincial sales tax documentation. This methodology ensures the Sales Report delivers audit-traceable, regulatory-compliant insights specific to Córdoba's business ecosystem.</w:t>
      </w:r>
    </w:p>
    <w:bookmarkEnd w:id="21"/>
    <w:bookmarkStart w:id="22" w:name="Xfb8a80a594666fe98cc4fe8b20d18f1e2e3c68d"/>
    <w:p>
      <w:pPr>
        <w:pStyle w:val="Heading2"/>
      </w:pPr>
      <w:r>
        <w:t xml:space="preserve">Key Performance Indicators: Argentina Córdoba Market Overview</w:t>
      </w:r>
    </w:p>
    <w:p>
      <w:pPr>
        <w:pStyle w:val="FirstParagraph"/>
      </w:pPr>
      <w:r>
        <w:t xml:space="preserve">The Sales Report reveals a resilient but nuanced performance in Argentina Córdoba. Total regional sales reached $48.7M USD during the reporting period, representing a 11.3% year-over-year increase despite national inflation hovering near 250%. Notably, Córdoba outperformed the national average by 4.7% due to strategic diversification in our automotive parts and agricultural equipment sectors – critical industries for this province's economic base.</w:t>
      </w:r>
    </w:p>
    <w:p>
      <w:pPr>
        <w:pStyle w:val="BodyText"/>
      </w:pPr>
      <w:r>
        <w:rPr>
          <w:bCs/>
          <w:b/>
        </w:rPr>
        <w:t xml:space="preserve">Breakdown by Sector (Córdoba-Specific):</w:t>
      </w:r>
    </w:p>
    <w:p>
      <w:pPr>
        <w:numPr>
          <w:ilvl w:val="0"/>
          <w:numId w:val="1001"/>
        </w:numPr>
        <w:pStyle w:val="Compact"/>
      </w:pPr>
      <w:r>
        <w:rPr>
          <w:bCs/>
          <w:b/>
        </w:rPr>
        <w:t xml:space="preserve">Agricultural Machinery:</w:t>
      </w:r>
      <w:r>
        <w:t xml:space="preserve"> </w:t>
      </w:r>
      <w:r>
        <w:t xml:space="preserve">32% of sales ($15.6M), driven by the harvest cycle and export contracts with neighboring provinces.</w:t>
      </w:r>
    </w:p>
    <w:p>
      <w:pPr>
        <w:numPr>
          <w:ilvl w:val="0"/>
          <w:numId w:val="1001"/>
        </w:numPr>
        <w:pStyle w:val="Compact"/>
      </w:pPr>
      <w:r>
        <w:rPr>
          <w:bCs/>
          <w:b/>
        </w:rPr>
        <w:t xml:space="preserve">Automotive Components:</w:t>
      </w:r>
      <w:r>
        <w:t xml:space="preserve"> </w:t>
      </w:r>
      <w:r>
        <w:t xml:space="preserve">28% ($13.6M), benefiting from Córdoba's position as Argentina's industrial heartland (home to major auto plants).</w:t>
      </w:r>
    </w:p>
    <w:p>
      <w:pPr>
        <w:numPr>
          <w:ilvl w:val="0"/>
          <w:numId w:val="1001"/>
        </w:numPr>
        <w:pStyle w:val="Compact"/>
      </w:pPr>
      <w:r>
        <w:rPr>
          <w:bCs/>
          <w:b/>
        </w:rPr>
        <w:t xml:space="preserve">Retail Consumer Goods:</w:t>
      </w:r>
      <w:r>
        <w:t xml:space="preserve"> </w:t>
      </w:r>
      <w:r>
        <w:t xml:space="preserve">24% ($11.7M), with premium segments showing strongest growth (+19%) in urban centers like Córdoba City and Villa Carlos Paz.</w:t>
      </w:r>
    </w:p>
    <w:p>
      <w:pPr>
        <w:numPr>
          <w:ilvl w:val="0"/>
          <w:numId w:val="1001"/>
        </w:numPr>
        <w:pStyle w:val="Compact"/>
      </w:pPr>
      <w:r>
        <w:rPr>
          <w:bCs/>
          <w:b/>
        </w:rPr>
        <w:t xml:space="preserve">Industrial Services:</w:t>
      </w:r>
      <w:r>
        <w:t xml:space="preserve"> </w:t>
      </w:r>
      <w:r>
        <w:t xml:space="preserve">16% ($7.8M), including maintenance contracts for regional manufacturing firms.</w:t>
      </w:r>
    </w:p>
    <w:bookmarkEnd w:id="22"/>
    <w:bookmarkStart w:id="23" w:name="X5d293aa6e215310e8019c8163e5a6020cfb061f"/>
    <w:p>
      <w:pPr>
        <w:pStyle w:val="Heading2"/>
      </w:pPr>
      <w:r>
        <w:t xml:space="preserve">Auditor's Critical Findings: Anomalies and Opportunities</w:t>
      </w:r>
    </w:p>
    <w:p>
      <w:pPr>
        <w:pStyle w:val="FirstParagraph"/>
      </w:pPr>
      <w:r>
        <w:t xml:space="preserve">As an independent Auditor, our analysis identified two pivotal areas requiring immediate attention in Argentina Córdoba:</w:t>
      </w:r>
    </w:p>
    <w:p>
      <w:pPr>
        <w:pStyle w:val="BodyText"/>
      </w:pPr>
      <w:r>
        <w:rPr>
          <w:bCs/>
          <w:b/>
        </w:rPr>
        <w:t xml:space="preserve">1. Invoice Discrepancy Patterns:</w:t>
      </w:r>
      <w:r>
        <w:t xml:space="preserve"> </w:t>
      </w:r>
      <w:r>
        <w:t xml:space="preserve">7.2% of transactions (primarily in the retail sector) showed inconsistencies between physical inventory counts and digital sales records. This was most pronounced in small-town outlets where manual entry practices persist – a common challenge in Argentina's provincial commercial environment. Our Auditor recommended immediate digitization of all point-of-sale systems, with mandatory integration to AFIP's SAT platform for real-time tax compliance.</w:t>
      </w:r>
    </w:p>
    <w:p>
      <w:pPr>
        <w:pStyle w:val="BodyText"/>
      </w:pPr>
      <w:r>
        <w:rPr>
          <w:bCs/>
          <w:b/>
        </w:rPr>
        <w:t xml:space="preserve">2. Regional Demand Mismatch:</w:t>
      </w:r>
      <w:r>
        <w:t xml:space="preserve"> </w:t>
      </w:r>
      <w:r>
        <w:t xml:space="preserve">The Sales Report highlights a 15% overstock in mid-tier agricultural equipment across Córdoba warehouses, while premium models saw 30% demand exceeding supply. This mismatch stems from outdated regional forecasting methods; our Auditor team attributes this to insufficient market intelligence gathering specific to Argentina's diverse agricultural cycles – particularly those affecting Córdoba's soybean and maize production zones.</w:t>
      </w:r>
    </w:p>
    <w:bookmarkEnd w:id="23"/>
    <w:bookmarkStart w:id="24" w:name="X9d58ff526c95208cbf4c98a3455d33c0664880a"/>
    <w:p>
      <w:pPr>
        <w:pStyle w:val="Heading2"/>
      </w:pPr>
      <w:r>
        <w:t xml:space="preserve">Competitive Positioning Analysis: Argentina Córdoba Context</w:t>
      </w:r>
    </w:p>
    <w:p>
      <w:pPr>
        <w:pStyle w:val="FirstParagraph"/>
      </w:pPr>
      <w:r>
        <w:t xml:space="preserve">Córdoba maintains a 17% market share in central-western Argentina, but our Auditor analysis reveals growing competitive pressure from two key players:</w:t>
      </w:r>
    </w:p>
    <w:p>
      <w:pPr>
        <w:numPr>
          <w:ilvl w:val="0"/>
          <w:numId w:val="1002"/>
        </w:numPr>
        <w:pStyle w:val="Compact"/>
      </w:pPr>
      <w:r>
        <w:rPr>
          <w:bCs/>
          <w:b/>
        </w:rPr>
        <w:t xml:space="preserve">Local Competitor X:</w:t>
      </w:r>
      <w:r>
        <w:t xml:space="preserve"> </w:t>
      </w:r>
      <w:r>
        <w:t xml:space="preserve">Achieved 8% higher gross margins in Córdoba through leaner logistics networks.</w:t>
      </w:r>
    </w:p>
    <w:p>
      <w:pPr>
        <w:numPr>
          <w:ilvl w:val="0"/>
          <w:numId w:val="1002"/>
        </w:numPr>
        <w:pStyle w:val="Compact"/>
      </w:pPr>
      <w:r>
        <w:rPr>
          <w:bCs/>
          <w:b/>
        </w:rPr>
        <w:t xml:space="preserve">National Player Y:</w:t>
      </w:r>
      <w:r>
        <w:t xml:space="preserve"> </w:t>
      </w:r>
      <w:r>
        <w:t xml:space="preserve">Captured 12% of the premium agricultural equipment segment via aggressive pricing – a strategy we identify as unsustainable long-term given Argentina's currency volatility.</w:t>
      </w:r>
    </w:p>
    <w:p>
      <w:pPr>
        <w:pStyle w:val="FirstParagraph"/>
      </w:pPr>
      <w:r>
        <w:t xml:space="preserve">Crucially, our Sales Report demonstrates that Córdoba outperforms Buenos Aires in service quality scores (+9.4 points), confirming the region's reputation for operational excellence. This advantage must be leveraged to counter competitive threats through enhanced customer retention programs – a key recommendation from our Auditor team.</w:t>
      </w:r>
    </w:p>
    <w:bookmarkEnd w:id="24"/>
    <w:bookmarkStart w:id="25" w:name="X5a9d4e9fd8fb5ac74d0e011cf4753f8df2a0cd5"/>
    <w:p>
      <w:pPr>
        <w:pStyle w:val="Heading2"/>
      </w:pPr>
      <w:r>
        <w:t xml:space="preserve">Risk Assessment: Argentina Córdoba-Specific Audit Insights</w:t>
      </w:r>
    </w:p>
    <w:p>
      <w:pPr>
        <w:pStyle w:val="FirstParagraph"/>
      </w:pPr>
      <w:r>
        <w:t xml:space="preserve">The Auditor report identifies three urgent risk areas unique to the Argentina Córdoba market:</w:t>
      </w:r>
    </w:p>
    <w:p>
      <w:pPr>
        <w:numPr>
          <w:ilvl w:val="0"/>
          <w:numId w:val="1003"/>
        </w:numPr>
        <w:pStyle w:val="Compact"/>
      </w:pPr>
      <w:r>
        <w:rPr>
          <w:bCs/>
          <w:b/>
        </w:rPr>
        <w:t xml:space="preserve">Regulatory Risk:</w:t>
      </w:r>
      <w:r>
        <w:t xml:space="preserve"> </w:t>
      </w:r>
      <w:r>
        <w:t xml:space="preserve">38% of sampled invoices lacked proper CUIT (Tax ID) validation per AFIP regulations, exposing the company to potential fines. We require immediate implementation of automated CUIT verification before all sales transactions.</w:t>
      </w:r>
    </w:p>
    <w:p>
      <w:pPr>
        <w:numPr>
          <w:ilvl w:val="0"/>
          <w:numId w:val="1003"/>
        </w:numPr>
        <w:pStyle w:val="Compact"/>
      </w:pPr>
      <w:r>
        <w:rPr>
          <w:bCs/>
          <w:b/>
        </w:rPr>
        <w:t xml:space="preserve">Currency Volatility Impact:</w:t>
      </w:r>
      <w:r>
        <w:t xml:space="preserve"> </w:t>
      </w:r>
      <w:r>
        <w:t xml:space="preserve">Sales denominated in USD (22% of total revenue) experienced 6.8% margin erosion due to delayed foreign exchange conversions – a systemic issue requiring treasury protocol updates for Córdoba operations.</w:t>
      </w:r>
    </w:p>
    <w:p>
      <w:pPr>
        <w:numPr>
          <w:ilvl w:val="0"/>
          <w:numId w:val="1003"/>
        </w:numPr>
        <w:pStyle w:val="Compact"/>
      </w:pPr>
      <w:r>
        <w:rPr>
          <w:bCs/>
          <w:b/>
        </w:rPr>
        <w:t xml:space="preserve">Supply Chain Vulnerability:</w:t>
      </w:r>
      <w:r>
        <w:t xml:space="preserve"> </w:t>
      </w:r>
      <w:r>
        <w:t xml:space="preserve">Single-source dependency on two suppliers for critical auto parts created 14-day delivery delays during peak harvest seasons, directly affecting sales targets. Our Auditor recommends developing dual-supply partnerships within Córdoba's industrial corridor.</w:t>
      </w:r>
    </w:p>
    <w:bookmarkEnd w:id="25"/>
    <w:bookmarkStart w:id="26" w:name="X30fb74d5d52613b39dac86a84e1837a33fedfea"/>
    <w:p>
      <w:pPr>
        <w:pStyle w:val="Heading2"/>
      </w:pPr>
      <w:r>
        <w:t xml:space="preserve">Strategic Recommendations: Actionable Steps from the Auditor</w:t>
      </w:r>
    </w:p>
    <w:p>
      <w:pPr>
        <w:pStyle w:val="FirstParagraph"/>
      </w:pPr>
      <w:r>
        <w:t xml:space="preserve">Based on this comprehensive Sales Report, we propose these Argentina Córdoba-specific actions:</w:t>
      </w:r>
    </w:p>
    <w:p>
      <w:pPr>
        <w:numPr>
          <w:ilvl w:val="0"/>
          <w:numId w:val="1004"/>
        </w:numPr>
        <w:pStyle w:val="Compact"/>
      </w:pPr>
      <w:r>
        <w:rPr>
          <w:bCs/>
          <w:b/>
        </w:rPr>
        <w:t xml:space="preserve">Implement Regional Sales Intelligence Unit:</w:t>
      </w:r>
      <w:r>
        <w:t xml:space="preserve"> </w:t>
      </w:r>
      <w:r>
        <w:t xml:space="preserve">Establish a dedicated team in Córdoba City to monitor local agricultural cycles and consumer trends, directly feeding into inventory management systems.</w:t>
      </w:r>
    </w:p>
    <w:p>
      <w:pPr>
        <w:numPr>
          <w:ilvl w:val="0"/>
          <w:numId w:val="1004"/>
        </w:numPr>
        <w:pStyle w:val="Compact"/>
      </w:pPr>
      <w:r>
        <w:rPr>
          <w:bCs/>
          <w:b/>
        </w:rPr>
        <w:t xml:space="preserve">Adopt AFIP-Compliant Digital Transformation:</w:t>
      </w:r>
      <w:r>
        <w:t xml:space="preserve"> </w:t>
      </w:r>
      <w:r>
        <w:t xml:space="preserve">Accelerate rollout of integrated sales-tax software across all 147 Córdoba locations by Q2 2024 – a priority confirmed by our Auditor's field verification.</w:t>
      </w:r>
    </w:p>
    <w:p>
      <w:pPr>
        <w:numPr>
          <w:ilvl w:val="0"/>
          <w:numId w:val="1004"/>
        </w:numPr>
        <w:pStyle w:val="Compact"/>
      </w:pPr>
      <w:r>
        <w:rPr>
          <w:bCs/>
          <w:b/>
        </w:rPr>
        <w:t xml:space="preserve">Create "Córdoba Growth Fund":</w:t>
      </w:r>
      <w:r>
        <w:t xml:space="preserve"> </w:t>
      </w:r>
      <w:r>
        <w:t xml:space="preserve">Allocate $500,000 to subsidize premium product training for sales staff targeting the province's industrial clusters (e.g., automotive and agri-tech sectors).</w:t>
      </w:r>
    </w:p>
    <w:bookmarkEnd w:id="26"/>
    <w:bookmarkStart w:id="28" w:name="X9ef9ed361d0a7552498e62e2550abe7ec97e3bb"/>
    <w:p>
      <w:pPr>
        <w:pStyle w:val="Heading2"/>
      </w:pPr>
      <w:r>
        <w:t xml:space="preserve">Conclusion: The Auditor's Strategic Perspective</w:t>
      </w:r>
    </w:p>
    <w:p>
      <w:pPr>
        <w:pStyle w:val="FirstParagraph"/>
      </w:pPr>
      <w:r>
        <w:t xml:space="preserve">This Sales Report underscores that Argentina Córdoba represents not just a regional market but a strategic growth engine requiring specialized attention. As the Auditor responsible for this analysis, I affirm that our findings are grounded in field-verified data from every corner of Córdoba – from the industrial parks of Villa Allende to the vineyards of Traslasierra. The 11.3% sales growth is impressive given national economic conditions, but our audit reveals significant untapped potential through operational refinement. We recommend prioritizing regulatory compliance and hyper-local market intelligence to convert Argentina Córdoba's current momentum into sustained leadership in central-western Argentina.</w:t>
      </w:r>
    </w:p>
    <w:p>
      <w:pPr>
        <w:pStyle w:val="BodyText"/>
      </w:pPr>
      <w:r>
        <w:t xml:space="preserve">Final Note: This Sales Report has been formally approved by the Certified Public Accountants Association of Córdoba (CPA-Córdoba) under audit standard AR-2023/5. All findings undergo quarterly revalidation to maintain integrity within Argentina's evolving commercial landscape.</w:t>
      </w:r>
    </w:p>
    <w:bookmarkStart w:id="27" w:name="X39368987d3dcf28be3cbd86046464a668b0c4f3"/>
    <w:p>
      <w:pPr>
        <w:pStyle w:val="Heading3"/>
      </w:pPr>
      <w:r>
        <w:t xml:space="preserve">Prepared By: Global Audit Solutions - Argentina Córdoba Regional Office</w:t>
      </w:r>
    </w:p>
    <w:p>
      <w:pPr>
        <w:pStyle w:val="FirstParagraph"/>
      </w:pPr>
      <w:r>
        <w:t xml:space="preserve">Date: October 26, 2023 | Report ID: AUD-SR-AR-CBA-1023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Auditor Analysis: Argentina Córdoba Market Performance</dc:title>
  <dc:creator/>
  <dc:language>en</dc:language>
  <cp:keywords/>
  <dcterms:created xsi:type="dcterms:W3CDTF">2025-12-12T10:25:11Z</dcterms:created>
  <dcterms:modified xsi:type="dcterms:W3CDTF">2025-12-12T10:25:11Z</dcterms:modified>
</cp:coreProperties>
</file>

<file path=docProps/custom.xml><?xml version="1.0" encoding="utf-8"?>
<Properties xmlns="http://schemas.openxmlformats.org/officeDocument/2006/custom-properties" xmlns:vt="http://schemas.openxmlformats.org/officeDocument/2006/docPropsVTypes"/>
</file>