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w:t>
      </w:r>
      <w:r>
        <w:t xml:space="preserve"> </w:t>
      </w:r>
      <w:r>
        <w:t xml:space="preserve">Services</w:t>
      </w:r>
      <w:r>
        <w:t xml:space="preserve"> </w:t>
      </w:r>
      <w:r>
        <w:t xml:space="preserve">Performance</w:t>
      </w:r>
      <w:r>
        <w:t xml:space="preserve"> </w:t>
      </w:r>
      <w:r>
        <w:t xml:space="preserve">-</w:t>
      </w:r>
      <w:r>
        <w:t xml:space="preserve"> </w:t>
      </w:r>
      <w:r>
        <w:t xml:space="preserve">Melbourne</w:t>
      </w:r>
      <w:r>
        <w:t xml:space="preserve"> </w:t>
      </w:r>
      <w:r>
        <w:t xml:space="preserve">Australia</w:t>
      </w:r>
    </w:p>
    <w:bookmarkStart w:id="29" w:name="Xb8d678c6b6284eab83163dd3df6aad20c5fece5"/>
    <w:p>
      <w:pPr>
        <w:pStyle w:val="Heading1"/>
      </w:pPr>
      <w:r>
        <w:t xml:space="preserve">Comprehensive Sales Report: Audit Services Performance Analysis for Melbourne Operations, Australia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National Audit Division</w:t>
      </w:r>
      <w:r>
        <w:br/>
      </w:r>
      <w:r>
        <w:rPr>
          <w:bCs/>
          <w:b/>
        </w:rPr>
        <w:t xml:space="preserve">Prepared By:</w:t>
      </w:r>
      <w:r>
        <w:t xml:space="preserve"> </w:t>
      </w:r>
      <w:r>
        <w:t xml:space="preserve">Melbourne Regional Sales &amp; Audit Performance Department</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Sales Report provides an in-depth analysis of audit service performance across Australia Melbourne operations for the first nine months of 2023. As a critical component of our national service delivery model, the Melbourne office has demonstrated exceptional growth in audit engagements, achieving a remarkable 18.7% year-over-year increase in billed hours while maintaining compliance with Australian Auditing Standards (AAS). The report underscores how our dedicated</w:t>
      </w:r>
      <w:r>
        <w:t xml:space="preserve"> </w:t>
      </w:r>
      <w:r>
        <w:rPr>
          <w:bCs/>
          <w:b/>
        </w:rPr>
        <w:t xml:space="preserve">Auditor</w:t>
      </w:r>
      <w:r>
        <w:t xml:space="preserve"> </w:t>
      </w:r>
      <w:r>
        <w:t xml:space="preserve">teams have navigated complex market dynamics in</w:t>
      </w:r>
      <w:r>
        <w:t xml:space="preserve"> </w:t>
      </w:r>
      <w:r>
        <w:rPr>
          <w:bCs/>
          <w:b/>
        </w:rPr>
        <w:t xml:space="preserve">Australia Melbourne</w:t>
      </w:r>
      <w:r>
        <w:t xml:space="preserve">, turning regulatory challenges into strategic opportunities. This document serves as both a performance benchmark and a roadmap for future growth in one of Australia's most competitive financial hubs.</w:t>
      </w:r>
    </w:p>
    <w:bookmarkEnd w:id="20"/>
    <w:bookmarkStart w:id="28" w:name="Xb13bf0ad097f9480d57f6b8b13ffab942fabcae"/>
    <w:p>
      <w:pPr>
        <w:pStyle w:val="Heading2"/>
      </w:pPr>
      <w:r>
        <w:t xml:space="preserve">Sales Performance by Quarter: Melbourne Office (Jan-Sep 2023)</w:t>
      </w:r>
    </w:p>
    <w:p>
      <w:pPr>
        <w:pStyle w:val="FirstParagraph"/>
      </w:pPr>
      <w:r>
        <w:t xml:space="preserve">Quarter</w:t>
      </w:r>
    </w:p>
    <w:p>
      <w:pPr>
        <w:pStyle w:val="BodyText"/>
      </w:pPr>
      <w:r>
        <w:t xml:space="preserve">Total Audit Engagements</w:t>
      </w:r>
    </w:p>
    <w:p>
      <w:pPr>
        <w:pStyle w:val="BodyText"/>
      </w:pPr>
      <w:r>
        <w:t xml:space="preserve">Revenue Generated ($AUD)</w:t>
      </w:r>
    </w:p>
    <w:p>
      <w:pPr>
        <w:pStyle w:val="BodyText"/>
      </w:pPr>
      <w:r>
        <w:t xml:space="preserve">% Growth vs Previous Year</w:t>
      </w:r>
    </w:p>
    <w:p>
      <w:pPr>
        <w:pStyle w:val="BodyText"/>
      </w:pPr>
      <w:r>
        <w:t xml:space="preserve">New Client Acquisition Rate</w:t>
      </w:r>
    </w:p>
    <w:p>
      <w:pPr>
        <w:pStyle w:val="BodyText"/>
      </w:pPr>
      <w:r>
        <w:t xml:space="preserve">Q1 2023</w:t>
      </w:r>
    </w:p>
    <w:p>
      <w:pPr>
        <w:pStyle w:val="BodyText"/>
      </w:pPr>
      <w:r>
        <w:t xml:space="preserve">147</w:t>
      </w:r>
    </w:p>
    <w:p>
      <w:pPr>
        <w:pStyle w:val="BodyText"/>
      </w:pPr>
      <w:r>
        <w:t xml:space="preserve">$8,250,000</w:t>
      </w:r>
    </w:p>
    <w:p>
      <w:pPr>
        <w:pStyle w:val="BodyText"/>
      </w:pPr>
      <w:r>
        <w:t xml:space="preserve">14.2%</w:t>
      </w:r>
    </w:p>
    <w:p>
      <w:pPr>
        <w:pStyle w:val="BodyText"/>
      </w:pPr>
      <w:r>
        <w:t xml:space="preserve">38%</w:t>
      </w:r>
    </w:p>
    <w:p>
      <w:pPr>
        <w:pStyle w:val="BodyText"/>
      </w:pPr>
      <w:r>
        <w:t xml:space="preserve">Q2 2023</w:t>
      </w:r>
    </w:p>
    <w:p>
      <w:pPr>
        <w:pStyle w:val="BodyText"/>
      </w:pPr>
      <w:r>
        <w:t xml:space="preserve">Key Performance Indicators for Melbourne Audit Services</w:t>
      </w:r>
    </w:p>
    <w:p>
      <w:pPr>
        <w:pStyle w:val="BodyText"/>
      </w:pPr>
      <w:r>
        <w:t xml:space="preserve">KPI</w:t>
      </w:r>
    </w:p>
    <w:p>
      <w:pPr>
        <w:pStyle w:val="BodyText"/>
      </w:pPr>
      <w:r>
        <w:t xml:space="preserve">Current Year (2023)</w:t>
      </w:r>
    </w:p>
    <w:p>
      <w:pPr>
        <w:pStyle w:val="BodyText"/>
      </w:pPr>
      <w:r>
        <w:t xml:space="preserve">Previous Year (2022)</w:t>
      </w:r>
    </w:p>
    <w:bookmarkStart w:id="21" w:name="X8c3c870eb0c339957168a500fd2099deeff53a8"/>
    <w:p>
      <w:pPr>
        <w:pStyle w:val="Heading3"/>
      </w:pPr>
      <w:r>
        <w:t xml:space="preserve">Audit Service Growth Drivers in Australia Melbourne</w:t>
      </w:r>
    </w:p>
    <w:p>
      <w:pPr>
        <w:pStyle w:val="FirstParagraph"/>
      </w:pPr>
      <w:r>
        <w:t xml:space="preserve">The unprecedented growth trajectory of our Melbourne audit practice directly correlates with strategic investments in industry-specific expertise. By developing specialized capabilities in key Victorian sectors—particularly healthcare, renewable energy, and property development—our</w:t>
      </w:r>
      <w:r>
        <w:t xml:space="preserve"> </w:t>
      </w:r>
      <w:r>
        <w:rPr>
          <w:bCs/>
          <w:b/>
        </w:rPr>
        <w:t xml:space="preserve">Auditor</w:t>
      </w:r>
      <w:r>
        <w:t xml:space="preserve"> </w:t>
      </w:r>
      <w:r>
        <w:t xml:space="preserve">teams have positioned themselves as indispensable partners for local enterprises. This specialization has been critical in navigating Australia's complex regulatory landscape where Melbourne-based businesses face unique challenges under the Corporations Act 2001 and ASIC compliance frameworks. The Sales Report confirms that 68% of new engagements originated from referrals within Melbourne's business community, demonstrating trust in our</w:t>
      </w:r>
      <w:r>
        <w:t xml:space="preserve"> </w:t>
      </w:r>
      <w:r>
        <w:rPr>
          <w:bCs/>
          <w:b/>
        </w:rPr>
        <w:t xml:space="preserve">Auditor</w:t>
      </w:r>
      <w:r>
        <w:t xml:space="preserve"> </w:t>
      </w:r>
      <w:r>
        <w:t xml:space="preserve">competence for Australia-specific financial reporting requirements.</w:t>
      </w:r>
    </w:p>
    <w:bookmarkEnd w:id="21"/>
    <w:bookmarkStart w:id="22" w:name="X1854b5c72cdace262415bf11235b77b38ac8aa7"/>
    <w:p>
      <w:pPr>
        <w:pStyle w:val="Heading3"/>
      </w:pPr>
      <w:r>
        <w:t xml:space="preserve">Market Positioning: Australia Melbourne as a Strategic Hub</w:t>
      </w:r>
    </w:p>
    <w:p>
      <w:pPr>
        <w:pStyle w:val="FirstParagraph"/>
      </w:pPr>
      <w:r>
        <w:t xml:space="preserve">Melbourne's status as Australia's second-largest economic center has elevated its significance for our national audit strategy. This Sales Report reveals that 42% of all Australian metropolitan audit engagements now originate from Victoria, with Melbourne accounting for 76% of this volume. The city's concentration of ASX-listed companies (38% nationally), major financial institutions, and government entities creates an optimal environment for specialized audit services. Our Melbourne</w:t>
      </w:r>
      <w:r>
        <w:t xml:space="preserve"> </w:t>
      </w:r>
      <w:r>
        <w:rPr>
          <w:bCs/>
          <w:b/>
        </w:rPr>
        <w:t xml:space="preserve">Auditor</w:t>
      </w:r>
      <w:r>
        <w:t xml:space="preserve"> </w:t>
      </w:r>
      <w:r>
        <w:t xml:space="preserve">teams have leveraged this positioning by developing sector-specific audit protocols that address local market nuances—from Victorian land tax implications to state-based payroll compliance—directly contributing to a 23% increase in client retention rates compared to national averages.</w:t>
      </w:r>
    </w:p>
    <w:bookmarkEnd w:id="22"/>
    <w:bookmarkStart w:id="23" w:name="Xbdc3b41dca4b7768b74f076615c8f2a35d36548"/>
    <w:p>
      <w:pPr>
        <w:pStyle w:val="Heading3"/>
      </w:pPr>
      <w:r>
        <w:t xml:space="preserve">Key Challenges Identified: Navigating Australia's Regulatory Environment</w:t>
      </w:r>
    </w:p>
    <w:p>
      <w:pPr>
        <w:pStyle w:val="FirstParagraph"/>
      </w:pPr>
      <w:r>
        <w:t xml:space="preserve">The Sales Report highlights two persistent challenges requiring strategic attention. First, the escalating complexity of Australian regulatory requirements has increased audit effort by 19% year-over-year. Our Melbourne office reported 47% more requests for specialized compliance consultations (e.g., ESG reporting under the Australian Sustainability Reporting Standards). Second, competitive pressures intensified with five new international audit firms establishing Melbourne offices during FY2023, putting downward pressure on pricing in the commercial sector. Crucially, our data shows that clients prioritize auditor expertise over cost when selecting providers—a trend verified by our Melbourne client satisfaction scores (89% Net Promoter Score) outperforming competitors by 17 points.</w:t>
      </w:r>
    </w:p>
    <w:bookmarkEnd w:id="23"/>
    <w:bookmarkStart w:id="24" w:name="X564fa4c802416031866481f2656b0b263460c60"/>
    <w:p>
      <w:pPr>
        <w:pStyle w:val="Heading3"/>
      </w:pPr>
      <w:r>
        <w:t xml:space="preserve">Strategic Recommendations for Enhanced Sales Performance</w:t>
      </w:r>
    </w:p>
    <w:p>
      <w:pPr>
        <w:pStyle w:val="FirstParagraph"/>
      </w:pPr>
      <w:r>
        <w:t xml:space="preserve">This Sales Report proposes three evidence-based initiatives to sustain growth in Australia Melbourne:</w:t>
      </w:r>
    </w:p>
    <w:p>
      <w:pPr>
        <w:numPr>
          <w:ilvl w:val="0"/>
          <w:numId w:val="1001"/>
        </w:numPr>
        <w:pStyle w:val="Compact"/>
      </w:pPr>
      <w:r>
        <w:rPr>
          <w:bCs/>
          <w:b/>
        </w:rPr>
        <w:t xml:space="preserve">Industry-Specific Audit Productization:</w:t>
      </w:r>
      <w:r>
        <w:t xml:space="preserve"> </w:t>
      </w:r>
      <w:r>
        <w:t xml:space="preserve">Develop standardized engagement packages for Melbourne's top five sectors (real estate, health services, logistics, manufacturing, and renewables) with bundled compliance features for Australian regulatory frameworks. Projected impact: 12-15% revenue uplift through increased cross-selling.</w:t>
      </w:r>
    </w:p>
    <w:p>
      <w:pPr>
        <w:numPr>
          <w:ilvl w:val="0"/>
          <w:numId w:val="1001"/>
        </w:numPr>
        <w:pStyle w:val="Compact"/>
      </w:pPr>
      <w:r>
        <w:rPr>
          <w:bCs/>
          <w:b/>
        </w:rPr>
        <w:t xml:space="preserve">Technology Integration:</w:t>
      </w:r>
      <w:r>
        <w:t xml:space="preserve"> </w:t>
      </w:r>
      <w:r>
        <w:t xml:space="preserve">Implement AI-powered audit analytics tools to reduce time-to-completion by 25% while enhancing risk identification in Australia's evolving tax landscape. The Melbourne pilot program showed a 33% efficiency gain in detecting non-compliant transactions during Q3 audits.</w:t>
      </w:r>
    </w:p>
    <w:p>
      <w:pPr>
        <w:numPr>
          <w:ilvl w:val="0"/>
          <w:numId w:val="1001"/>
        </w:numPr>
        <w:pStyle w:val="Compact"/>
      </w:pPr>
      <w:r>
        <w:rPr>
          <w:bCs/>
          <w:b/>
        </w:rPr>
        <w:t xml:space="preserve">Talent Development Program:</w:t>
      </w:r>
      <w:r>
        <w:t xml:space="preserve"> </w:t>
      </w:r>
      <w:r>
        <w:t xml:space="preserve">Establish Melbourne-based certification pathways for</w:t>
      </w:r>
      <w:r>
        <w:t xml:space="preserve"> </w:t>
      </w:r>
      <w:r>
        <w:rPr>
          <w:bCs/>
          <w:b/>
        </w:rPr>
        <w:t xml:space="preserve">Auditor</w:t>
      </w:r>
      <w:r>
        <w:t xml:space="preserve"> </w:t>
      </w:r>
      <w:r>
        <w:t xml:space="preserve">staff focusing on Australian-specific standards (AASB, ATO guidelines, and state legislation). This addresses the critical talent shortage identified in our Sales Report—72% of client requests cite "local regulatory expertise" as their top selection criterion.</w:t>
      </w:r>
    </w:p>
    <w:bookmarkEnd w:id="24"/>
    <w:bookmarkStart w:id="25" w:name="financial-impact-analysis"/>
    <w:p>
      <w:pPr>
        <w:pStyle w:val="Heading3"/>
      </w:pPr>
      <w:r>
        <w:t xml:space="preserve">Financial Impact Analysis</w:t>
      </w:r>
    </w:p>
    <w:p>
      <w:pPr>
        <w:pStyle w:val="FirstParagraph"/>
      </w:pPr>
      <w:r>
        <w:t xml:space="preserve">The Melbourne office's performance directly contributes to national profitability, generating 29.6% of total Australian audit revenue despite representing only 18% of our nationwide staff footprint. The Sales Report quantifies the ROI of our Melbourne strategy: every $1 invested in local market specialization yielded $4.73 in incremental revenue during H1 2023. Critically, client acquisition costs have decreased by 27% as referral-driven growth dominates—proof that our</w:t>
      </w:r>
      <w:r>
        <w:t xml:space="preserve"> </w:t>
      </w:r>
      <w:r>
        <w:rPr>
          <w:bCs/>
          <w:b/>
        </w:rPr>
        <w:t xml:space="preserve">Auditor</w:t>
      </w:r>
      <w:r>
        <w:t xml:space="preserve"> </w:t>
      </w:r>
      <w:r>
        <w:t xml:space="preserve">expertise has become a self-sustaining sales engine within Australia Melbourne's business ecosystem.</w:t>
      </w:r>
    </w:p>
    <w:bookmarkEnd w:id="25"/>
    <w:bookmarkStart w:id="27" w:name="X0719fb1747642e2fdcc61c74aa976616a4421b3"/>
    <w:p>
      <w:pPr>
        <w:pStyle w:val="Heading3"/>
      </w:pPr>
      <w:r>
        <w:t xml:space="preserve">Conclusion: The Melbourne Advantage for National Sales Growth</w:t>
      </w:r>
    </w:p>
    <w:p>
      <w:pPr>
        <w:pStyle w:val="FirstParagraph"/>
      </w:pPr>
      <w:r>
        <w:t xml:space="preserve">This comprehensive Sales Report confirms that Australia Melbourne is not merely a regional office but the strategic engine driving our national audit success. The integration of deep local market knowledge with global audit standards has created an unbeatable value proposition. Our Melbourne</w:t>
      </w:r>
      <w:r>
        <w:t xml:space="preserve"> </w:t>
      </w:r>
      <w:r>
        <w:rPr>
          <w:bCs/>
          <w:b/>
        </w:rPr>
        <w:t xml:space="preserve">Auditor</w:t>
      </w:r>
      <w:r>
        <w:t xml:space="preserve"> </w:t>
      </w:r>
      <w:r>
        <w:t xml:space="preserve">teams have transformed regulatory complexity into competitive differentiation, proving that specialization within Australia's unique business environment delivers measurable commercial results.</w:t>
      </w:r>
    </w:p>
    <w:p>
      <w:pPr>
        <w:pStyle w:val="BodyText"/>
      </w:pPr>
      <w:r>
        <w:t xml:space="preserve">As we enter the final quarter of 2023, the Sales Report provides clear direction: double down on Melbourne's leadership in industry-specific audit solutions while leveraging our Australian market expertise to accelerate national expansion. The data is unequivocal—clients don't just hire auditors; they partner with specialists who understand</w:t>
      </w:r>
      <w:r>
        <w:t xml:space="preserve"> </w:t>
      </w:r>
      <w:r>
        <w:rPr>
          <w:bCs/>
          <w:b/>
        </w:rPr>
        <w:t xml:space="preserve">Australia Melbourne</w:t>
      </w:r>
      <w:r>
        <w:t xml:space="preserve"> </w:t>
      </w:r>
      <w:r>
        <w:t xml:space="preserve">in all its complexity. This Sales Report is the definitive guide to capturing 35%+ of Australia's growing audit service market through strategic local execution.</w:t>
      </w:r>
    </w:p>
    <w:bookmarkStart w:id="26" w:name="X8a079f10edda605fe19ca843834af31e29dc4c6"/>
    <w:p>
      <w:pPr>
        <w:pStyle w:val="Heading4"/>
      </w:pPr>
      <w:r>
        <w:t xml:space="preserve">Appendix: Key Metrics (Melbourne Office - Jan-Sep 2023)</w:t>
      </w:r>
    </w:p>
    <w:p>
      <w:pPr>
        <w:numPr>
          <w:ilvl w:val="0"/>
          <w:numId w:val="1002"/>
        </w:numPr>
        <w:pStyle w:val="Compact"/>
      </w:pPr>
      <w:r>
        <w:t xml:space="preserve">Revenue Growth: +18.7% YoY ($6,950,000 to $8,259,317)</w:t>
      </w:r>
    </w:p>
    <w:p>
      <w:pPr>
        <w:numPr>
          <w:ilvl w:val="0"/>
          <w:numId w:val="1002"/>
        </w:numPr>
        <w:pStyle w:val="Compact"/>
      </w:pPr>
      <w:r>
        <w:t xml:space="preserve">Client Retention Rate: 89.4% (vs National Avg: 75%)</w:t>
      </w:r>
    </w:p>
    <w:p>
      <w:pPr>
        <w:numPr>
          <w:ilvl w:val="0"/>
          <w:numId w:val="1002"/>
        </w:numPr>
        <w:pStyle w:val="Compact"/>
      </w:pPr>
      <w:r>
        <w:t xml:space="preserve">Specialization Revenue Contribution: 63% of total revenue</w:t>
      </w:r>
    </w:p>
    <w:p>
      <w:pPr>
        <w:numPr>
          <w:ilvl w:val="0"/>
          <w:numId w:val="1002"/>
        </w:numPr>
        <w:pStyle w:val="Compact"/>
      </w:pPr>
      <w:r>
        <w:t xml:space="preserve">Australian Regulatory Compliance Score: 92.1/100 (Top Tier)</w:t>
      </w:r>
    </w:p>
    <w:p>
      <w:pPr>
        <w:pStyle w:val="FirstParagraph"/>
      </w:pPr>
      <w:r>
        <w:rPr>
          <w:iCs/>
          <w:i/>
        </w:rPr>
        <w:t xml:space="preserve">This Sales Report is confidential and proprietary to [Firm Name]. Distribution restricted to authorized personnel only. Data sourced from Melbourne Audit Management System (MAMS) and Australian Taxation Office compliance databases.</w:t>
      </w:r>
    </w:p>
    <w:bookmarkEnd w:id="26"/>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 Services Performance - Melbourne Australia</dc:title>
  <dc:creator/>
  <dc:language>en</dc:language>
  <cp:keywords/>
  <dcterms:created xsi:type="dcterms:W3CDTF">2025-12-13T03:10:11Z</dcterms:created>
  <dcterms:modified xsi:type="dcterms:W3CDTF">2025-12-13T03:10:11Z</dcterms:modified>
</cp:coreProperties>
</file>

<file path=docProps/custom.xml><?xml version="1.0" encoding="utf-8"?>
<Properties xmlns="http://schemas.openxmlformats.org/officeDocument/2006/custom-properties" xmlns:vt="http://schemas.openxmlformats.org/officeDocument/2006/docPropsVTypes"/>
</file>