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w:t>
      </w:r>
      <w:r>
        <w:t xml:space="preserve"> </w:t>
      </w:r>
      <w:r>
        <w:t xml:space="preserve">Bangladesh</w:t>
      </w:r>
      <w:r>
        <w:t xml:space="preserve"> </w:t>
      </w:r>
      <w:r>
        <w:t xml:space="preserve">Dhaka</w:t>
      </w:r>
    </w:p>
    <w:bookmarkStart w:id="28" w:name="X3e54c6a5c9b59380943c2b3919ef6af64228b55"/>
    <w:p>
      <w:pPr>
        <w:pStyle w:val="Heading1"/>
      </w:pPr>
      <w:r>
        <w:t xml:space="preserve">Sales Report: Auditor Performance and Market Analysis for Dhaka, Bangladesh</w:t>
      </w:r>
    </w:p>
    <w:bookmarkStart w:id="20" w:name="executive-summary"/>
    <w:p>
      <w:pPr>
        <w:pStyle w:val="Heading2"/>
      </w:pPr>
      <w:r>
        <w:t xml:space="preserve">Executive Summary</w:t>
      </w:r>
    </w:p>
    <w:p>
      <w:pPr>
        <w:pStyle w:val="FirstParagraph"/>
      </w:pPr>
      <w:r>
        <w:t xml:space="preserve">This comprehensive Sales Report details the performance of our auditor sales initiatives across Dhaka, Bangladesh during Q3 2023. As a leading financial assurance provider in the region, we've achieved significant milestones in expanding audit services to Bangladeshi enterprises. The report demonstrates how strategic targeting of Dhaka's dynamic business ecosystem has driven a 22% year-over-year growth in auditor-led sales, solidifying our market position amid Bangladesh's evolving regulatory landscape. This document serves as both an operational snapshot and a roadmap for future growth in Bangladesh Dhaka's critical financial services sector.</w:t>
      </w:r>
    </w:p>
    <w:bookmarkEnd w:id="20"/>
    <w:bookmarkStart w:id="21" w:name="Xc63ddd361d816328d03b424d8dc0c59c25c1335"/>
    <w:p>
      <w:pPr>
        <w:pStyle w:val="Heading2"/>
      </w:pPr>
      <w:r>
        <w:t xml:space="preserve">Market Context: Auditing Imperatives in Bangladesh Dhaka</w:t>
      </w:r>
    </w:p>
    <w:p>
      <w:pPr>
        <w:pStyle w:val="FirstParagraph"/>
      </w:pPr>
      <w:r>
        <w:t xml:space="preserve">Dhaka remains the economic nucleus of Bangladesh, housing over 35% of the nation's corporate entities. With regulatory reforms under the Securities and Exchange Commission of Bangladesh (SECB) mandating stricter financial disclosures, demand for professional auditing services has surged. Our Sales Report reveals that 78% of Dhaka-based businesses now prioritize certified auditor engagement for statutory compliance – a 40% increase from 2020. This trend positions our auditor sales team as strategic partners in Bangladesh's corporate governance evolution. The Bangladesh Bank's enhanced financial oversight framework has further accelerated this shift, making audit services non-negotiable for business operations in Dhaka.</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New Auditor Contracts Signed</w:t>
      </w:r>
    </w:p>
    <w:p>
      <w:pPr>
        <w:pStyle w:val="BodyText"/>
      </w:pPr>
      <w:r>
        <w:t xml:space="preserve">47</w:t>
      </w:r>
    </w:p>
    <w:p>
      <w:pPr>
        <w:pStyle w:val="BodyText"/>
      </w:pPr>
      <w:r>
        <w:t xml:space="preserve">58 (+23%)</w:t>
      </w:r>
    </w:p>
    <w:p>
      <w:pPr>
        <w:pStyle w:val="BodyText"/>
      </w:pPr>
      <w:r>
        <w:t xml:space="preserve">+11 (23.4%)</w:t>
      </w:r>
    </w:p>
    <w:p>
      <w:pPr>
        <w:pStyle w:val="BodyText"/>
      </w:pPr>
      <w:r>
        <w:t xml:space="preserve">Audit Service Revenue</w:t>
      </w:r>
    </w:p>
    <w:p>
      <w:pPr>
        <w:pStyle w:val="BodyText"/>
      </w:pPr>
      <w:r>
        <w:t xml:space="preserve">$685,000 USD</w:t>
      </w:r>
    </w:p>
    <w:p>
      <w:pPr>
        <w:pStyle w:val="BodyText"/>
      </w:pPr>
      <w:r>
        <w:t xml:space="preserve">&lt;</w:t>
      </w:r>
    </w:p>
    <w:p>
      <w:pPr>
        <w:pStyle w:val="BodyText"/>
      </w:pPr>
      <w:r>
        <w:t xml:space="preserve">$819,200 USD (+23.7%)</w:t>
      </w:r>
    </w:p>
    <w:p>
      <w:pPr>
        <w:pStyle w:val="BodyText"/>
      </w:pPr>
      <w:r>
        <w:t xml:space="preserve">+$134,200 (19.6%)</w:t>
      </w:r>
    </w:p>
    <w:p>
      <w:pPr>
        <w:pStyle w:val="BodyText"/>
      </w:pPr>
      <w:r>
        <w:t xml:space="preserve">SME Client Acquisition Rate</w:t>
      </w:r>
    </w:p>
    <w:p>
      <w:pPr>
        <w:pStyle w:val="BodyText"/>
      </w:pPr>
      <w:r>
        <w:t xml:space="preserve">35%</w:t>
      </w:r>
    </w:p>
    <w:p>
      <w:pPr>
        <w:pStyle w:val="BodyText"/>
      </w:pPr>
      <w:r>
        <w:t xml:space="preserve">48% (+13%)</w:t>
      </w:r>
    </w:p>
    <w:p>
      <w:pPr>
        <w:pStyle w:val="BodyText"/>
      </w:pPr>
      <w:r>
        <w:t xml:space="preserve">+13 (37.1%)</w:t>
      </w:r>
    </w:p>
    <w:p>
      <w:pPr>
        <w:pStyle w:val="BodyText"/>
      </w:pPr>
      <w:r>
        <w:t xml:space="preserve">Cross-Sell Ratio (Audit + Tax)</w:t>
      </w:r>
    </w:p>
    <w:p>
      <w:pPr>
        <w:pStyle w:val="BodyText"/>
      </w:pPr>
      <w:r>
        <w:t xml:space="preserve">d 62%d"&gt;d 74%d"&gt;d +12 (19.4%)d"</w:t>
      </w:r>
    </w:p>
    <w:p>
      <w:pPr>
        <w:pStyle w:val="BodyText"/>
      </w:pPr>
      <w:r>
        <w:t xml:space="preserve">These results reflect exceptional execution by our Dhaka-based auditor sales team, who demonstrated deep market understanding of Bangladesh's unique business environment. Notably, we secured 23 new contracts with garment manufacturing firms – a critical sector driving Bangladesh's export economy – leveraging specialized audit solutions aligned with International Financial Reporting Standards (IFRS) adopted by the country.</w:t>
      </w:r>
    </w:p>
    <w:bookmarkEnd w:id="22"/>
    <w:bookmarkStart w:id="23" w:name="geographic-sales-breakdown-dhaka-focus"/>
    <w:p>
      <w:pPr>
        <w:pStyle w:val="Heading2"/>
      </w:pPr>
      <w:r>
        <w:t xml:space="preserve">Geographic Sales Breakdown: Dhaka Focus</w:t>
      </w:r>
    </w:p>
    <w:p>
      <w:pPr>
        <w:pStyle w:val="FirstParagraph"/>
      </w:pPr>
      <w:r>
        <w:t xml:space="preserve">Our sales strategy prioritized Dhaka's key commercial zones, yielding remarkable results:</w:t>
      </w:r>
    </w:p>
    <w:p>
      <w:pPr>
        <w:numPr>
          <w:ilvl w:val="0"/>
          <w:numId w:val="1001"/>
        </w:numPr>
        <w:pStyle w:val="Compact"/>
      </w:pPr>
      <w:r>
        <w:rPr>
          <w:bCs/>
          <w:b/>
        </w:rPr>
        <w:t xml:space="preserve">Sector 1: Dhaka City Corridor (35% of revenue)</w:t>
      </w:r>
      <w:r>
        <w:t xml:space="preserve">: Targeting multinational subsidiaries and major banks including Standard Chartered and DBBL. Auditor-led solutions for Basel III compliance drove 32% revenue growth in this segment.</w:t>
      </w:r>
    </w:p>
    <w:p>
      <w:pPr>
        <w:numPr>
          <w:ilvl w:val="0"/>
          <w:numId w:val="1001"/>
        </w:numPr>
        <w:pStyle w:val="Compact"/>
      </w:pPr>
      <w:r>
        <w:rPr>
          <w:bCs/>
          <w:b/>
        </w:rPr>
        <w:t xml:space="preserve">Sector 2: Industrial Estates (40% of revenue)</w:t>
      </w:r>
      <w:r>
        <w:t xml:space="preserve">: Focus on Gazipur, Savar, and Ashulia industrial zones. We implemented tailored audit packages for textile exporters meeting US/EU supply chain requirements, accounting for 18 new contracts.</w:t>
      </w:r>
    </w:p>
    <w:p>
      <w:pPr>
        <w:numPr>
          <w:ilvl w:val="0"/>
          <w:numId w:val="1001"/>
        </w:numPr>
        <w:pStyle w:val="Compact"/>
      </w:pPr>
      <w:r>
        <w:rPr>
          <w:bCs/>
          <w:b/>
        </w:rPr>
        <w:t xml:space="preserve">Sector 3: Emerging SMEs (25% of revenue)</w:t>
      </w:r>
      <w:r>
        <w:t xml:space="preserve">: Digital outreach campaigns targeting Dhaka's startup ecosystem resulted in 37 new small business audits – a 200% YoY increase through our "Digital Audit Starter" package.</w:t>
      </w:r>
    </w:p>
    <w:bookmarkEnd w:id="23"/>
    <w:bookmarkStart w:id="24" w:name="Xee27992b4f73f40efba38fc4af5784c1a7ea43f"/>
    <w:p>
      <w:pPr>
        <w:pStyle w:val="Heading2"/>
      </w:pPr>
      <w:r>
        <w:t xml:space="preserve">Market Challenges and Strategic Responses</w:t>
      </w:r>
    </w:p>
    <w:p>
      <w:pPr>
        <w:pStyle w:val="FirstParagraph"/>
      </w:pPr>
      <w:r>
        <w:t xml:space="preserve">Our Sales Report identifies critical challenges unique to Bangladesh Dhaka:</w:t>
      </w:r>
    </w:p>
    <w:p>
      <w:pPr>
        <w:pStyle w:val="BodyText"/>
      </w:pPr>
      <w:r>
        <w:rPr>
          <w:bCs/>
          <w:b/>
        </w:rPr>
        <w:t xml:space="preserve">Challenge 1: Regulatory Complexity</w:t>
      </w:r>
      <w:r>
        <w:br/>
      </w:r>
      <w:r>
        <w:t xml:space="preserve">Bangladesh's evolving tax codes and SECP requirements created client confusion. Our solution: Developed a "Regulatory Navigator" toolkit co-created with Dhaka-based legal experts, reducing onboarding time by 35% and directly contributing to our 23% new client acquisition surge.</w:t>
      </w:r>
    </w:p>
    <w:p>
      <w:pPr>
        <w:pStyle w:val="BodyText"/>
      </w:pPr>
      <w:r>
        <w:rPr>
          <w:bCs/>
          <w:b/>
        </w:rPr>
        <w:t xml:space="preserve">Challenge 2: Price Sensitivity</w:t>
      </w:r>
      <w:r>
        <w:br/>
      </w:r>
      <w:r>
        <w:t xml:space="preserve">Economic pressures post-inflation surge made cost-conscious decisions critical. We countered with tiered audit packages (Basic/Standard/Premium) and demonstrated ROI through case studies showing how proper auditing reduced penalty risks by up to 60% – a key factor in securing 87% of new contracts.</w:t>
      </w:r>
    </w:p>
    <w:bookmarkEnd w:id="24"/>
    <w:bookmarkStart w:id="25" w:name="X2898592428c5eb8eb990ed82ecc9a5b9847e138"/>
    <w:p>
      <w:pPr>
        <w:pStyle w:val="Heading2"/>
      </w:pPr>
      <w:r>
        <w:t xml:space="preserve">Strategic Advantages Driving Sales Success</w:t>
      </w:r>
    </w:p>
    <w:p>
      <w:pPr>
        <w:pStyle w:val="FirstParagraph"/>
      </w:pPr>
      <w:r>
        <w:t xml:space="preserve">Our auditor sales approach in Bangladesh Dhaka differentiates us through three core pillars:</w:t>
      </w:r>
    </w:p>
    <w:p>
      <w:pPr>
        <w:numPr>
          <w:ilvl w:val="0"/>
          <w:numId w:val="1002"/>
        </w:numPr>
        <w:pStyle w:val="Compact"/>
      </w:pPr>
      <w:r>
        <w:rPr>
          <w:bCs/>
          <w:b/>
        </w:rPr>
        <w:t xml:space="preserve">Cultural Intelligence</w:t>
      </w:r>
      <w:r>
        <w:t xml:space="preserve">: Our Dhaka team includes Bengali-speaking auditors with 10+ years local experience, enabling nuanced understanding of business practices that Western firms lack. This built trust with family-owned enterprises across Bangladesh.</w:t>
      </w:r>
    </w:p>
    <w:p>
      <w:pPr>
        <w:numPr>
          <w:ilvl w:val="0"/>
          <w:numId w:val="1002"/>
        </w:numPr>
        <w:pStyle w:val="Compact"/>
      </w:pPr>
      <w:r>
        <w:rPr>
          <w:bCs/>
          <w:b/>
        </w:rPr>
        <w:t xml:space="preserve">Technology Integration</w:t>
      </w:r>
      <w:r>
        <w:t xml:space="preserve">: The "Dhaka Audit Hub" platform – developed specifically for Bangladesh's connectivity landscape – allows real-time reporting via low-bandwidth solutions, adopted by 65% of new clients.</w:t>
      </w:r>
    </w:p>
    <w:p>
      <w:pPr>
        <w:numPr>
          <w:ilvl w:val="0"/>
          <w:numId w:val="1002"/>
        </w:numPr>
        <w:pStyle w:val="Compact"/>
      </w:pPr>
      <w:r>
        <w:rPr>
          <w:bCs/>
          <w:b/>
        </w:rPr>
        <w:t xml:space="preserve">Government Alignment</w:t>
      </w:r>
      <w:r>
        <w:t xml:space="preserve">: Partnerships with Dhaka Chamber of Commerce and SECP-approved audit frameworks position us as trusted advisors rather than service vendors.</w:t>
      </w:r>
    </w:p>
    <w:bookmarkEnd w:id="25"/>
    <w:bookmarkStart w:id="26" w:name="recommendations-for-q4-2023-and-beyond"/>
    <w:p>
      <w:pPr>
        <w:pStyle w:val="Heading2"/>
      </w:pPr>
      <w:r>
        <w:t xml:space="preserve">Recommendations for Q4 2023 and Beyond</w:t>
      </w:r>
    </w:p>
    <w:p>
      <w:pPr>
        <w:pStyle w:val="FirstParagraph"/>
      </w:pPr>
      <w:r>
        <w:t xml:space="preserve">Based on our Sales Report analysis, we recommend:</w:t>
      </w:r>
    </w:p>
    <w:p>
      <w:pPr>
        <w:numPr>
          <w:ilvl w:val="0"/>
          <w:numId w:val="1003"/>
        </w:numPr>
        <w:pStyle w:val="Compact"/>
      </w:pPr>
      <w:r>
        <w:rPr>
          <w:bCs/>
          <w:b/>
        </w:rPr>
        <w:t xml:space="preserve">Expand Dhaka Industrial Zones Coverage</w:t>
      </w:r>
      <w:r>
        <w:t xml:space="preserve">: Target 50 additional textile manufacturers in Gazipur through factory visits (current penetration: 38%) with specialized compliance packages for EU standards.</w:t>
      </w:r>
    </w:p>
    <w:p>
      <w:pPr>
        <w:numPr>
          <w:ilvl w:val="0"/>
          <w:numId w:val="1003"/>
        </w:numPr>
        <w:pStyle w:val="Compact"/>
      </w:pPr>
      <w:r>
        <w:rPr>
          <w:bCs/>
          <w:b/>
        </w:rPr>
        <w:t xml:space="preserve">Launch "Auditor Digital Certification" Program</w:t>
      </w:r>
      <w:r>
        <w:t xml:space="preserve">: Address Bangladesh's growing demand for skilled auditors by certifying 200 local professionals, creating a pipeline for our sales team and enhancing market credibility.</w:t>
      </w:r>
    </w:p>
    <w:p>
      <w:pPr>
        <w:numPr>
          <w:ilvl w:val="0"/>
          <w:numId w:val="1003"/>
        </w:numPr>
        <w:pStyle w:val="Compact"/>
      </w:pPr>
      <w:r>
        <w:rPr>
          <w:bCs/>
          <w:b/>
        </w:rPr>
        <w:t xml:space="preserve">Develop Shariah-Compliant Audit Modules</w:t>
      </w:r>
      <w:r>
        <w:t xml:space="preserve">: Capitalize on Dhaka's expanding Islamic finance sector (45% growth in 2023) with specialized audit frameworks approved by Bangladesh Bank's Islamic Banking Department.</w:t>
      </w:r>
    </w:p>
    <w:bookmarkEnd w:id="26"/>
    <w:bookmarkStart w:id="27" w:name="conclusion-the-auditor-as-sales-catalyst"/>
    <w:p>
      <w:pPr>
        <w:pStyle w:val="Heading2"/>
      </w:pPr>
      <w:r>
        <w:t xml:space="preserve">Conclusion: The Auditor as Sales Catalyst</w:t>
      </w:r>
    </w:p>
    <w:p>
      <w:pPr>
        <w:pStyle w:val="FirstParagraph"/>
      </w:pPr>
      <w:r>
        <w:t xml:space="preserve">This Sales Report underscores that in Bangladesh Dhaka, the auditor is no longer just a compliance function – they are the strategic sales engine driving business growth. Our 23% revenue growth proves that when audit services are positioned as value drivers (not cost centers), we create sustainable partnerships across Bangladesh's most dynamic market. The success in Dhaka demonstrates a replicable model for South Asian expansion, where local expertise combined with global standards delivers measurable results.</w:t>
      </w:r>
    </w:p>
    <w:p>
      <w:pPr>
        <w:pStyle w:val="BodyText"/>
      </w:pPr>
      <w:r>
        <w:t xml:space="preserve">As the economic center of Bangladesh, Dhaka demands solutions that understand its unique blend of tradition and transformation. Our auditor sales team has delivered – not just meeting targets but redefining how auditing creates business value in this critical market. The future of audit in Bangladesh Dhaka isn't just about numbers; it's about becoming the trusted financial guardian for every enterprise navigating growth in a complex, evolving economy.</w:t>
      </w:r>
    </w:p>
    <w:p>
      <w:pPr>
        <w:pStyle w:val="BodyText"/>
      </w:pPr>
      <w:r>
        <w:rPr>
          <w:bCs/>
          <w:b/>
        </w:rPr>
        <w:t xml:space="preserve">Prepared By</w:t>
      </w:r>
      <w:r>
        <w:t xml:space="preserve">: Dhaka Sales Strategy Unit |</w:t>
      </w:r>
      <w:r>
        <w:t xml:space="preserve"> </w:t>
      </w:r>
      <w:r>
        <w:rPr>
          <w:bCs/>
          <w:b/>
        </w:rPr>
        <w:t xml:space="preserve">Date</w:t>
      </w:r>
      <w:r>
        <w:t xml:space="preserve">: October 26, 2023 |</w:t>
      </w:r>
      <w:r>
        <w:t xml:space="preserve"> </w:t>
      </w:r>
      <w:r>
        <w:rPr>
          <w:bCs/>
          <w:b/>
        </w:rPr>
        <w:t xml:space="preserve">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 Bangladesh Dhaka</dc:title>
  <dc:creator/>
  <dc:language>en</dc:language>
  <cp:keywords/>
  <dcterms:created xsi:type="dcterms:W3CDTF">2026-07-21T06:00:32Z</dcterms:created>
  <dcterms:modified xsi:type="dcterms:W3CDTF">2026-07-21T06:00:32Z</dcterms:modified>
</cp:coreProperties>
</file>

<file path=docProps/custom.xml><?xml version="1.0" encoding="utf-8"?>
<Properties xmlns="http://schemas.openxmlformats.org/officeDocument/2006/custom-properties" xmlns:vt="http://schemas.openxmlformats.org/officeDocument/2006/docPropsVTypes"/>
</file>