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e0fd9e666af9d68fb2d8d997267587284260c8d"/>
    <w:p>
      <w:pPr>
        <w:pStyle w:val="Heading1"/>
      </w:pPr>
      <w:r>
        <w:t xml:space="preserve">Comprehensive Sales Report: Auditor Performance Analysis for Belgium Brussels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our dedicated Auditor team within the Belgium Brussels market during Q3 2023. The report demonstrates how strategic alignment between our Auditor role, localized market expertise, and sales execution has driven significant growth in this critical European hub. With Belgium Brussels serving as a central nexus for EU institutions and multinational corporations, the effectiveness of our Auditor position directly impacts revenue streams across multiple sectors including finance, healthcare, and public administration. This document confirms that targeted investment in our Auditor role within Belgium Brussels has yielded 18% year-over-year sales growth despite economic headwinds.</w:t>
      </w:r>
    </w:p>
    <w:bookmarkEnd w:id="20"/>
    <w:bookmarkStart w:id="21" w:name="X5749543df7904ade7cdae68408273883c55d6cb"/>
    <w:p>
      <w:pPr>
        <w:pStyle w:val="Heading2"/>
      </w:pPr>
      <w:r>
        <w:t xml:space="preserve">II. Regional Market Context: Belgium Brussels Imperatives</w:t>
      </w:r>
    </w:p>
    <w:p>
      <w:pPr>
        <w:pStyle w:val="FirstParagraph"/>
      </w:pPr>
      <w:r>
        <w:t xml:space="preserve">The Belgium Brussels landscape presents unique complexities for auditors due to its dual regulatory framework (Belgian law + EU directives) and high concentration of international entities. As the capital of the European Union, Brussels hosts over 500 international organizations, making precise audit compliance non-negotiable for clients. Our Sales Report underscores that 87% of new contracts in Belgium Brussels now require specialized Auditor credentials validated through EU-specific compliance frameworks. This regional demand has elevated the Auditor from a support role to a strategic revenue driver – a fact clearly reflected in our Q3 results.</w:t>
      </w:r>
    </w:p>
    <w:bookmarkEnd w:id="21"/>
    <w:bookmarkStart w:id="22" w:name="X0f98962a60ff1934e0e9758cd9c7985f6a604e9"/>
    <w:p>
      <w:pPr>
        <w:pStyle w:val="Heading2"/>
      </w:pPr>
      <w:r>
        <w:t xml:space="preserve">III. Sales Performance Metrics: Auditor-Driven Results</w:t>
      </w:r>
    </w:p>
    <w:p>
      <w:pPr>
        <w:pStyle w:val="FirstParagraph"/>
      </w:pPr>
      <w:r>
        <w:t xml:space="preserve">Our Belgium Brussels market achieved €4.2M in revenue during Q3, with the Auditor function directly contributing €1.87M (44.5%) to total sales – a 31% increase from Q2 2023. This growth stems from three key initiatives tied to the Auditor position:</w:t>
      </w:r>
    </w:p>
    <w:p>
      <w:pPr>
        <w:numPr>
          <w:ilvl w:val="0"/>
          <w:numId w:val="1001"/>
        </w:numPr>
        <w:pStyle w:val="Compact"/>
      </w:pPr>
      <w:r>
        <w:rPr>
          <w:bCs/>
          <w:b/>
        </w:rPr>
        <w:t xml:space="preserve">Regulatory Compliance Packages:</w:t>
      </w:r>
      <w:r>
        <w:t xml:space="preserve"> </w:t>
      </w:r>
      <w:r>
        <w:t xml:space="preserve">Developed by our Belgium Brussels-based Auditor team, these packages secured €950K in contracts with EU-facing financial institutions.</w:t>
      </w:r>
    </w:p>
    <w:p>
      <w:pPr>
        <w:numPr>
          <w:ilvl w:val="0"/>
          <w:numId w:val="1001"/>
        </w:numPr>
        <w:pStyle w:val="Compact"/>
      </w:pPr>
      <w:r>
        <w:rPr>
          <w:bCs/>
          <w:b/>
        </w:rPr>
        <w:t xml:space="preserve">Client Onboarding Efficiency:</w:t>
      </w:r>
      <w:r>
        <w:t xml:space="preserve"> </w:t>
      </w:r>
      <w:r>
        <w:t xml:space="preserve">The localized Auditor reduced onboarding time by 42% through familiarity with Brussels' administrative processes, accelerating contract conversion.</w:t>
      </w:r>
    </w:p>
    <w:p>
      <w:pPr>
        <w:numPr>
          <w:ilvl w:val="0"/>
          <w:numId w:val="1001"/>
        </w:numPr>
        <w:pStyle w:val="Compact"/>
      </w:pPr>
      <w:r>
        <w:rPr>
          <w:bCs/>
          <w:b/>
        </w:rPr>
        <w:t xml:space="preserve">Upsell Opportunities:</w:t>
      </w:r>
      <w:r>
        <w:t xml:space="preserve"> </w:t>
      </w:r>
      <w:r>
        <w:t xml:space="preserve">Cross-selling additional audit services to existing clients increased by 63% due to the Auditor's deep understanding of client-specific EU regulatory needs.</w:t>
      </w:r>
    </w:p>
    <w:bookmarkEnd w:id="22"/>
    <w:bookmarkStart w:id="23" w:name="X76329b3d02d8ea3c7a3ef4c24f0092f2f8013f5"/>
    <w:p>
      <w:pPr>
        <w:pStyle w:val="Heading2"/>
      </w:pPr>
      <w:r>
        <w:t xml:space="preserve">IV. Key Achievements: The Auditor as Revenue Catalyst</w:t>
      </w:r>
    </w:p>
    <w:p>
      <w:pPr>
        <w:pStyle w:val="FirstParagraph"/>
      </w:pPr>
      <w:r>
        <w:t xml:space="preserve">The role of the Auditor in Belgium Brussels has evolved beyond traditional compliance work to become a primary sales engine. Notable achievements include:</w:t>
      </w:r>
    </w:p>
    <w:p>
      <w:pPr>
        <w:numPr>
          <w:ilvl w:val="0"/>
          <w:numId w:val="1002"/>
        </w:numPr>
        <w:pStyle w:val="Compact"/>
      </w:pPr>
      <w:r>
        <w:rPr>
          <w:bCs/>
          <w:b/>
        </w:rPr>
        <w:t xml:space="preserve">First-Mover Advantage with EU Institutions:</w:t>
      </w:r>
      <w:r>
        <w:t xml:space="preserve"> </w:t>
      </w:r>
      <w:r>
        <w:t xml:space="preserve">Our Senior Auditor secured a €1.2M contract with the European Banking Authority (EBA) – the first major public sector audit in our history within Belgium Brussels. This deal directly resulted from the Auditor's on-the-ground knowledge of EBA's Brussels-specific documentation protocols.</w:t>
      </w:r>
    </w:p>
    <w:p>
      <w:pPr>
        <w:numPr>
          <w:ilvl w:val="0"/>
          <w:numId w:val="1002"/>
        </w:numPr>
        <w:pStyle w:val="Compact"/>
      </w:pPr>
      <w:r>
        <w:rPr>
          <w:bCs/>
          <w:b/>
        </w:rPr>
        <w:t xml:space="preserve">Client Retention Through Risk Mitigation:</w:t>
      </w:r>
      <w:r>
        <w:t xml:space="preserve"> </w:t>
      </w:r>
      <w:r>
        <w:t xml:space="preserve">By identifying potential GDPR violations during routine audits, the Auditor team prevented €380K in potential regulatory fines for key clients – turning compliance into a retention tool. Client satisfaction scores rose to 94% (vs. industry average of 78%).</w:t>
      </w:r>
    </w:p>
    <w:p>
      <w:pPr>
        <w:numPr>
          <w:ilvl w:val="0"/>
          <w:numId w:val="1002"/>
        </w:numPr>
        <w:pStyle w:val="Compact"/>
      </w:pPr>
      <w:r>
        <w:rPr>
          <w:bCs/>
          <w:b/>
        </w:rPr>
        <w:t xml:space="preserve">Market Expansion via Local Partnerships:</w:t>
      </w:r>
      <w:r>
        <w:t xml:space="preserve"> </w:t>
      </w:r>
      <w:r>
        <w:t xml:space="preserve">The Belgium Brussels Auditor forged strategic alliances with three major Belgian accounting firms, generating €520K in referral revenue and extending our market reach into niche sectors like renewable energy compliance.</w:t>
      </w:r>
    </w:p>
    <w:bookmarkEnd w:id="23"/>
    <w:bookmarkStart w:id="24" w:name="Xfbc1525c544e598c9a607e2ffaa12a18241bc4e"/>
    <w:p>
      <w:pPr>
        <w:pStyle w:val="Heading2"/>
      </w:pPr>
      <w:r>
        <w:t xml:space="preserve">V. Challenges &amp; Strategic Response in Belgium Brussels</w:t>
      </w:r>
    </w:p>
    <w:p>
      <w:pPr>
        <w:pStyle w:val="FirstParagraph"/>
      </w:pPr>
      <w:r>
        <w:t xml:space="preserve">Despite strong performance, the Belgium Brussels market presented unique hurdles requiring Auditor-led solutions:</w:t>
      </w:r>
    </w:p>
    <w:p>
      <w:pPr>
        <w:numPr>
          <w:ilvl w:val="0"/>
          <w:numId w:val="1003"/>
        </w:numPr>
        <w:pStyle w:val="Compact"/>
      </w:pPr>
      <w:r>
        <w:rPr>
          <w:bCs/>
          <w:b/>
        </w:rPr>
        <w:t xml:space="preserve">Regulatory Fragmentation:</w:t>
      </w:r>
      <w:r>
        <w:t xml:space="preserve"> </w:t>
      </w:r>
      <w:r>
        <w:t xml:space="preserve">Multiple overlapping EU/Belgian regulations initially caused client confusion. Our Auditor developed a centralized compliance dashboard (adopted by 37 clients) that simplified reporting – directly increasing sales conversion rates by 29%.</w:t>
      </w:r>
    </w:p>
    <w:p>
      <w:pPr>
        <w:numPr>
          <w:ilvl w:val="0"/>
          <w:numId w:val="1003"/>
        </w:numPr>
        <w:pStyle w:val="Compact"/>
      </w:pPr>
      <w:r>
        <w:rPr>
          <w:bCs/>
          <w:b/>
        </w:rPr>
        <w:t xml:space="preserve">Talent Acquisition Constraints:</w:t>
      </w:r>
      <w:r>
        <w:t xml:space="preserve"> </w:t>
      </w:r>
      <w:r>
        <w:t xml:space="preserve">Securing auditors with dual EU/Belgian accreditation was difficult. The solution involved partnering with the Vlerick Business School in Brussels for a specialized certification program, reducing hiring time by 50% and improving candidate quality.</w:t>
      </w:r>
    </w:p>
    <w:bookmarkEnd w:id="24"/>
    <w:bookmarkStart w:id="25" w:name="X2e05cdabb2ad89406e9c8084278b8ef421b7d8e"/>
    <w:p>
      <w:pPr>
        <w:pStyle w:val="Heading2"/>
      </w:pPr>
      <w:r>
        <w:t xml:space="preserve">VI. Client Feedback: Validation from Belgium Brussels Market</w:t>
      </w:r>
    </w:p>
    <w:p>
      <w:pPr>
        <w:pStyle w:val="FirstParagraph"/>
      </w:pPr>
      <w:r>
        <w:t xml:space="preserve">Client testimonials from Belgium Brussels validate our Sales Report findings:</w:t>
      </w:r>
    </w:p>
    <w:p>
      <w:pPr>
        <w:pStyle w:val="BlockText"/>
      </w:pPr>
      <w:r>
        <w:t xml:space="preserve">"Our Auditor didn't just complete an audit – they identified a €180K savings opportunity in our EU tax structure that we'd missed for years. This is why we've doubled our engagement with your firm." – Head of Finance, Major Brussels-Based Pharmaceutical Company</w:t>
      </w:r>
    </w:p>
    <w:p>
      <w:pPr>
        <w:pStyle w:val="BlockText"/>
      </w:pPr>
      <w:r>
        <w:t xml:space="preserve">"The Belgium Brussels Auditor understood the intricacies of the Belgian Public Procurement Code better than any competitor. They secured us a critical public-sector contract." – Director, EU Policy Consultancy Firm</w:t>
      </w:r>
    </w:p>
    <w:bookmarkEnd w:id="25"/>
    <w:bookmarkStart w:id="26" w:name="X763bf6cd0d3332451a02eaf21e7c47b2fd799cd"/>
    <w:p>
      <w:pPr>
        <w:pStyle w:val="Heading2"/>
      </w:pPr>
      <w:r>
        <w:t xml:space="preserve">VII. Forward Strategy: Scaling the Auditor Advantage in Belgium Brussels</w:t>
      </w:r>
    </w:p>
    <w:p>
      <w:pPr>
        <w:pStyle w:val="FirstParagraph"/>
      </w:pPr>
      <w:r>
        <w:t xml:space="preserve">Based on our Sales Report evidence, we propose three priorities for Q4 2023:</w:t>
      </w:r>
    </w:p>
    <w:p>
      <w:pPr>
        <w:numPr>
          <w:ilvl w:val="0"/>
          <w:numId w:val="1004"/>
        </w:numPr>
        <w:pStyle w:val="Compact"/>
      </w:pPr>
      <w:r>
        <w:rPr>
          <w:bCs/>
          <w:b/>
        </w:rPr>
        <w:t xml:space="preserve">Expand Auditor Training:</w:t>
      </w:r>
      <w:r>
        <w:t xml:space="preserve"> </w:t>
      </w:r>
      <w:r>
        <w:t xml:space="preserve">Create a dedicated Belgium Brussels compliance curriculum covering EU Regulation 2023/XXXX, with certification mandatory for all new Auditors assigned to the region.</w:t>
      </w:r>
    </w:p>
    <w:p>
      <w:pPr>
        <w:numPr>
          <w:ilvl w:val="0"/>
          <w:numId w:val="1004"/>
        </w:numPr>
        <w:pStyle w:val="Compact"/>
      </w:pPr>
      <w:r>
        <w:rPr>
          <w:bCs/>
          <w:b/>
        </w:rPr>
        <w:t xml:space="preserve">Develop Tiered Audit Packages:</w:t>
      </w:r>
      <w:r>
        <w:t xml:space="preserve"> </w:t>
      </w:r>
      <w:r>
        <w:t xml:space="preserve">Introduce "Brussels Compliance Essentials" (entry-level) and "EU Regulatory Mastery" (enterprise) packages based on client size – directly aligned with our Sales Report revenue model.</w:t>
      </w:r>
    </w:p>
    <w:p>
      <w:pPr>
        <w:numPr>
          <w:ilvl w:val="0"/>
          <w:numId w:val="1004"/>
        </w:numPr>
        <w:pStyle w:val="Compact"/>
      </w:pPr>
      <w:r>
        <w:rPr>
          <w:bCs/>
          <w:b/>
        </w:rPr>
        <w:t xml:space="preserve">Establish Brussels Innovation Lab:</w:t>
      </w:r>
      <w:r>
        <w:t xml:space="preserve"> </w:t>
      </w:r>
      <w:r>
        <w:t xml:space="preserve">Co-locate the Auditor team with key EU policy advisors to proactively identify regulatory shifts before they impact sales pipelines. This will position us as market innovators, not just responders.</w:t>
      </w:r>
    </w:p>
    <w:bookmarkEnd w:id="26"/>
    <w:bookmarkStart w:id="27" w:name="Xe007affea7774afd43f115a99b0c592b073a6a8"/>
    <w:p>
      <w:pPr>
        <w:pStyle w:val="Heading2"/>
      </w:pPr>
      <w:r>
        <w:t xml:space="preserve">VIII. Conclusion: The Non-Negotiable Role of the Auditor in Belgium Brussels</w:t>
      </w:r>
    </w:p>
    <w:p>
      <w:pPr>
        <w:pStyle w:val="FirstParagraph"/>
      </w:pPr>
      <w:r>
        <w:t xml:space="preserve">This Sales Report conclusively demonstrates that in the Belgium Brussels market, the Auditor is no longer a support function but the cornerstone of our sales success. With 78% of new revenue directly traceable to Auditor-led initiatives – including high-value contracts with EU institutions and Fortune 500 companies headquartered in Brussels – investing in this role delivers unparalleled ROI. The data confirms that our Belgium Brussels market outperforms all other European regions by a margin of 22% when the Auditor function is fully operational.</w:t>
      </w:r>
    </w:p>
    <w:p>
      <w:pPr>
        <w:pStyle w:val="BodyText"/>
      </w:pPr>
      <w:r>
        <w:t xml:space="preserve">As we navigate the evolving regulatory landscape of EU governance from our strategic base in Belgium Brussels, every sale must reflect the unique value proposition embedded within our Auditor position. This Sales Report provides not just a performance snapshot, but a blueprint for how dedicated regional expertise drives sustainable growth. The path forward is clear: deepen our commitment to the Auditor role as the central sales driver within Belgium Brussels – where compliance meets commercial opportunity.</w:t>
      </w:r>
    </w:p>
    <w:p>
      <w:pPr>
        <w:pStyle w:val="BodyText"/>
      </w:pPr>
      <w:r>
        <w:rPr>
          <w:bCs/>
          <w:b/>
        </w:rPr>
        <w:t xml:space="preserve">Appendix A:</w:t>
      </w:r>
      <w:r>
        <w:t xml:space="preserve"> </w:t>
      </w:r>
      <w:r>
        <w:t xml:space="preserve">Full Q3 Sales Data by Sector (Belgium Brussels) |</w:t>
      </w:r>
      <w:r>
        <w:t xml:space="preserve"> </w:t>
      </w:r>
      <w:r>
        <w:rPr>
          <w:bCs/>
          <w:b/>
        </w:rPr>
        <w:t xml:space="preserve">Appendix B:</w:t>
      </w:r>
      <w:r>
        <w:t xml:space="preserve"> </w:t>
      </w:r>
      <w:r>
        <w:t xml:space="preserve">Auditor Certification Metrics |</w:t>
      </w:r>
      <w:r>
        <w:t xml:space="preserve"> </w:t>
      </w:r>
      <w:r>
        <w:rPr>
          <w:bCs/>
          <w:b/>
        </w:rPr>
        <w:t xml:space="preserve">Appendix C:</w:t>
      </w:r>
      <w:r>
        <w:t xml:space="preserve"> </w:t>
      </w:r>
      <w:r>
        <w:t xml:space="preserve">Client Satisfaction Survey Highlights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Belgium Brussels</dc:title>
  <dc:creator/>
  <dc:language>en</dc:language>
  <cp:keywords/>
  <dcterms:created xsi:type="dcterms:W3CDTF">2026-07-23T00:57:30Z</dcterms:created>
  <dcterms:modified xsi:type="dcterms:W3CDTF">2026-07-23T00:57:30Z</dcterms:modified>
</cp:coreProperties>
</file>

<file path=docProps/custom.xml><?xml version="1.0" encoding="utf-8"?>
<Properties xmlns="http://schemas.openxmlformats.org/officeDocument/2006/custom-properties" xmlns:vt="http://schemas.openxmlformats.org/officeDocument/2006/docPropsVTypes"/>
</file>