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Audit</w:t>
      </w:r>
      <w:r>
        <w:t xml:space="preserve"> </w:t>
      </w:r>
      <w:r>
        <w:t xml:space="preserve">Report</w:t>
      </w:r>
      <w:r>
        <w:t xml:space="preserve"> </w:t>
      </w:r>
      <w:r>
        <w:t xml:space="preserve">-</w:t>
      </w:r>
      <w:r>
        <w:t xml:space="preserve"> </w:t>
      </w:r>
      <w:r>
        <w:t xml:space="preserve">Chile</w:t>
      </w:r>
      <w:r>
        <w:t xml:space="preserve"> </w:t>
      </w:r>
      <w:r>
        <w:t xml:space="preserve">Santiago</w:t>
      </w:r>
    </w:p>
    <w:bookmarkStart w:id="30" w:name="Xf6486b0c2bc7e5833f3c5f16b4e9314be3a829d"/>
    <w:p>
      <w:pPr>
        <w:pStyle w:val="Heading1"/>
      </w:pPr>
      <w:r>
        <w:t xml:space="preserve">Q3 2023 Sales Performance and Financial Audit Report: Chile Santiago Operations</w:t>
      </w:r>
    </w:p>
    <w:bookmarkStart w:id="29" w:name="X24c44540731eff755a06b10497e6af673ec89f3"/>
    <w:p>
      <w:pPr>
        <w:pStyle w:val="Heading2"/>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comprehensive Sales Report details the performance metrics, strategic insights, and critical findings from the recent financial audit conducted across our Chile Santiago operations. The Audit was executed by our certified internal Auditor team under strict compliance with Chilean Commercial Code (Ley de Comercio) and international accounting standards (IFRS). This document serves as both a performance evaluation tool and an essential compliance record for all stakeholders operating within the Santiago metropolitan area.</w:t>
      </w:r>
    </w:p>
    <w:bookmarkEnd w:id="20"/>
    <w:bookmarkStart w:id="21" w:name="Xb67b5ac28526550263c3b013da3278606e94bf5"/>
    <w:p>
      <w:pPr>
        <w:pStyle w:val="Heading3"/>
      </w:pPr>
      <w:r>
        <w:t xml:space="preserve">1. Sales Performance Overview: Chile Santiago Market</w:t>
      </w:r>
    </w:p>
    <w:p>
      <w:pPr>
        <w:pStyle w:val="FirstParagraph"/>
      </w:pPr>
      <w:r>
        <w:t xml:space="preserve">The Chile Santiago region demonstrated strong growth in Q3 2023, achieving $4.8M in sales volume (a 17% increase over Q2) and capturing a 9.8% market share in the premium B2B segment. Key growth drivers included:</w:t>
      </w:r>
    </w:p>
    <w:p>
      <w:pPr>
        <w:numPr>
          <w:ilvl w:val="0"/>
          <w:numId w:val="1001"/>
        </w:numPr>
        <w:pStyle w:val="Compact"/>
      </w:pPr>
      <w:r>
        <w:rPr>
          <w:bCs/>
          <w:b/>
        </w:rPr>
        <w:t xml:space="preserve">Technology Sector Dominance</w:t>
      </w:r>
      <w:r>
        <w:t xml:space="preserve">: 62% of revenue generated from enterprise software solutions for Chilean financial institutions (including Banco Estado and Santander Chile)</w:t>
      </w:r>
    </w:p>
    <w:p>
      <w:pPr>
        <w:numPr>
          <w:ilvl w:val="0"/>
          <w:numId w:val="1001"/>
        </w:numPr>
        <w:pStyle w:val="Compact"/>
      </w:pPr>
      <w:r>
        <w:rPr>
          <w:bCs/>
          <w:b/>
        </w:rPr>
        <w:t xml:space="preserve">Santiago Metro Expansion</w:t>
      </w:r>
      <w:r>
        <w:t xml:space="preserve">: 34% sales uplift from contracts with Santiago's Metropolitan Transport Authority (METRO)</w:t>
      </w:r>
    </w:p>
    <w:p>
      <w:pPr>
        <w:numPr>
          <w:ilvl w:val="0"/>
          <w:numId w:val="1001"/>
        </w:numPr>
        <w:pStyle w:val="Compact"/>
      </w:pPr>
      <w:r>
        <w:rPr>
          <w:bCs/>
          <w:b/>
        </w:rPr>
        <w:t xml:space="preserve">Local Partnerships</w:t>
      </w:r>
      <w:r>
        <w:t xml:space="preserve">: Strategic alliances with 15+ Chilean SMEs in the logistics and retail verticals</w:t>
      </w:r>
    </w:p>
    <w:p>
      <w:pPr>
        <w:pStyle w:val="FirstParagraph"/>
      </w:pPr>
      <w:r>
        <w:t xml:space="preserve">The Sales Report confirms Santiago remains our most profitable regional hub, contributing 42% of total Latin American revenue. However, the Auditor identified significant discrepancies in invoice processing timeliness that require immediate remediation.</w:t>
      </w:r>
    </w:p>
    <w:bookmarkEnd w:id="21"/>
    <w:bookmarkStart w:id="22" w:name="X1c5c005057801c4ac311ccb543b4f360a8760c1"/>
    <w:p>
      <w:pPr>
        <w:pStyle w:val="Heading3"/>
      </w:pPr>
      <w:r>
        <w:t xml:space="preserve">2. Critical Audit Findings: Compliance &amp; Accuracy</w:t>
      </w:r>
    </w:p>
    <w:p>
      <w:pPr>
        <w:pStyle w:val="FirstParagraph"/>
      </w:pPr>
      <w:r>
        <w:t xml:space="preserve">Our internal Auditor conducted a 12-day forensic review of all sales transactions between July 1 and September 30, 2023. The following compliance gaps were documented per Chilean tax regulations (Ley de Impuesto a las Ganancias):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Issue Category</w:t>
            </w:r>
          </w:p>
        </w:tc>
        <w:tc>
          <w:tcPr/>
          <w:p>
            <w:pPr>
              <w:pStyle w:val="Compact"/>
              <w:jc w:val="left"/>
            </w:pPr>
            <w:r>
              <w:t xml:space="preserve">Incident Rate</w:t>
            </w:r>
          </w:p>
        </w:tc>
        <w:tc>
          <w:tcPr/>
          <w:p>
            <w:pPr>
              <w:pStyle w:val="Compact"/>
              <w:jc w:val="left"/>
            </w:pPr>
            <w:r>
              <w:t xml:space="preserve">Compliance Risk Level</w:t>
            </w:r>
          </w:p>
        </w:tc>
        <w:tc>
          <w:tcPr/>
          <w:p>
            <w:pPr>
              <w:pStyle w:val="Compact"/>
              <w:jc w:val="left"/>
            </w:pPr>
            <w:r>
              <w:t xml:space="preserve">Audit Recommendation</w:t>
            </w:r>
          </w:p>
        </w:tc>
      </w:tr>
      <w:tr>
        <w:tc>
          <w:tcPr/>
          <w:p>
            <w:pPr>
              <w:pStyle w:val="Compact"/>
              <w:jc w:val="left"/>
            </w:pPr>
            <w:r>
              <w:t xml:space="preserve">Invoicing Timeliness (Chilean Law 18.245)</w:t>
            </w:r>
          </w:p>
        </w:tc>
        <w:tc>
          <w:tcPr/>
          <w:p>
            <w:pPr>
              <w:pStyle w:val="Compact"/>
              <w:jc w:val="left"/>
            </w:pPr>
            <w:r>
              <w:t xml:space="preserve">28% of invoices issued &gt;7 days post-delivery</w:t>
            </w:r>
          </w:p>
        </w:tc>
        <w:tc>
          <w:tcPr/>
          <w:p>
            <w:pPr>
              <w:pStyle w:val="Compact"/>
              <w:jc w:val="left"/>
            </w:pPr>
            <w:r>
              <w:t xml:space="preserve">High (Potential IRS penalties: 5-10%)</w:t>
            </w:r>
          </w:p>
        </w:tc>
        <w:tc>
          <w:tcPr/>
          <w:p>
            <w:pPr>
              <w:pStyle w:val="Compact"/>
              <w:jc w:val="left"/>
            </w:pPr>
            <w:r>
              <w:t xml:space="preserve">Implement automated invoicing system with Santiago timezone alerts</w:t>
            </w:r>
          </w:p>
        </w:tc>
      </w:tr>
      <w:tr>
        <w:tc>
          <w:tcPr/>
          <w:p>
            <w:pPr>
              <w:pStyle w:val="Compact"/>
              <w:jc w:val="left"/>
            </w:pPr>
            <w:r>
              <w:t xml:space="preserve">Cash Flow Reconciliation Accuracy</w:t>
            </w:r>
          </w:p>
        </w:tc>
        <w:tc>
          <w:tcPr/>
          <w:p>
            <w:pPr>
              <w:pStyle w:val="Compact"/>
              <w:jc w:val="left"/>
            </w:pPr>
            <w:r>
              <w:t xml:space="preserve">19% variance in bank statements vs. CRM records</w:t>
            </w:r>
          </w:p>
        </w:tc>
        <w:tc>
          <w:tcPr/>
          <w:p>
            <w:pPr>
              <w:pStyle w:val="Compact"/>
              <w:jc w:val="left"/>
            </w:pPr>
            <w:r>
              <w:t xml:space="preserve">Moderate (Risk: Misreported EBITDA)</w:t>
            </w:r>
          </w:p>
        </w:tc>
        <w:tc>
          <w:tcPr/>
          <w:p>
            <w:pPr>
              <w:pStyle w:val="Compact"/>
              <w:jc w:val="left"/>
            </w:pPr>
            <w:r>
              <w:t xml:space="preserve">Integrate SAP with Chilean Central Bank API for real-time reconciliation</w:t>
            </w:r>
          </w:p>
        </w:tc>
      </w:tr>
      <w:tr>
        <w:tc>
          <w:tcPr/>
          <w:p>
            <w:pPr>
              <w:pStyle w:val="Compact"/>
              <w:jc w:val="left"/>
            </w:pPr>
            <w:r>
              <w:t xml:space="preserve">Tax Certificate Compliance (Form 240)</w:t>
            </w:r>
          </w:p>
        </w:tc>
        <w:tc>
          <w:tcPr/>
          <w:p>
            <w:pPr>
              <w:pStyle w:val="Compact"/>
              <w:jc w:val="left"/>
            </w:pPr>
            <w:r>
              <w:t xml:space="preserve">37% of contracts lacked valid Chilean RUT verification</w:t>
            </w:r>
          </w:p>
        </w:tc>
        <w:tc>
          <w:tcPr/>
          <w:p>
            <w:pPr>
              <w:pStyle w:val="Compact"/>
              <w:jc w:val="left"/>
            </w:pPr>
            <w:r>
              <w:t xml:space="preserve">High (Non-compliance with Servicio de Impuestos Internos)</w:t>
            </w:r>
          </w:p>
        </w:tc>
        <w:tc>
          <w:tcPr/>
          <w:p>
            <w:pPr>
              <w:pStyle w:val="Compact"/>
              <w:jc w:val="left"/>
            </w:pPr>
            <w:r>
              <w:t xml:space="preserve">Require mandatory RUT validation in all client onboarding workflows</w:t>
            </w:r>
          </w:p>
        </w:tc>
      </w:tr>
    </w:tbl>
    <w:p>
      <w:pPr>
        <w:pStyle w:val="BodyText"/>
      </w:pPr>
      <w:r>
        <w:t xml:space="preserve">The Auditor emphasized that these issues directly impact our Santiago operational license compliance under Chilean Ministry of Economy regulations. Failure to address them could result in service suspension fines up to 2% of annual revenue.</w:t>
      </w:r>
    </w:p>
    <w:bookmarkEnd w:id="22"/>
    <w:bookmarkStart w:id="23" w:name="X089b752ad00cebc6df49e1179b9d1567100d305"/>
    <w:p>
      <w:pPr>
        <w:pStyle w:val="Heading3"/>
      </w:pPr>
      <w:r>
        <w:t xml:space="preserve">3. Sales Strategy Analysis: Santiago Market Dynamics</w:t>
      </w:r>
    </w:p>
    <w:p>
      <w:pPr>
        <w:pStyle w:val="FirstParagraph"/>
      </w:pPr>
      <w:r>
        <w:t xml:space="preserve">This Sales Report reveals critical insights into Santiago's competitive landscape:</w:t>
      </w:r>
    </w:p>
    <w:p>
      <w:pPr>
        <w:numPr>
          <w:ilvl w:val="0"/>
          <w:numId w:val="1002"/>
        </w:numPr>
        <w:pStyle w:val="Compact"/>
      </w:pPr>
      <w:r>
        <w:rPr>
          <w:bCs/>
          <w:b/>
        </w:rPr>
        <w:t xml:space="preserve">Competitor Response</w:t>
      </w:r>
      <w:r>
        <w:t xml:space="preserve">: Competitor "TechChile" gained 2.1% market share through aggressive pricing on logistics SaaS solutions – a segment we underperformed in (only 4% revenue share vs. target 8%)</w:t>
      </w:r>
    </w:p>
    <w:p>
      <w:pPr>
        <w:numPr>
          <w:ilvl w:val="0"/>
          <w:numId w:val="1002"/>
        </w:numPr>
        <w:pStyle w:val="Compact"/>
      </w:pPr>
      <w:r>
        <w:rPr>
          <w:bCs/>
          <w:b/>
        </w:rPr>
        <w:t xml:space="preserve">Client Retention</w:t>
      </w:r>
      <w:r>
        <w:t xml:space="preserve">: Santiago's client churn rate decreased to 5.2% (from 8.7% in Q1), driven by our new Customer Success Program launched July 2023</w:t>
      </w:r>
    </w:p>
    <w:p>
      <w:pPr>
        <w:numPr>
          <w:ilvl w:val="0"/>
          <w:numId w:val="1002"/>
        </w:numPr>
        <w:pStyle w:val="Compact"/>
      </w:pPr>
      <w:r>
        <w:rPr>
          <w:bCs/>
          <w:b/>
        </w:rPr>
        <w:t xml:space="preserve">Seasonal Patterns</w:t>
      </w:r>
      <w:r>
        <w:t xml:space="preserve">: Q3 showed unusual demand spikes during Chilean Independence Week (September 18-19) – an opportunity to develop targeted campaigns</w:t>
      </w:r>
    </w:p>
    <w:p>
      <w:pPr>
        <w:pStyle w:val="FirstParagraph"/>
      </w:pPr>
      <w:r>
        <w:t xml:space="preserve">The Auditor verified all sales claims against historical data and client contracts, confirming 94.7% accuracy in performance metrics. However, the report notes that unverified vendor partnerships (23 instances) created revenue recognition risks per Chilean GAAP.</w:t>
      </w:r>
    </w:p>
    <w:bookmarkEnd w:id="23"/>
    <w:bookmarkStart w:id="24" w:name="X4418ac5b349f988ccee3bcd745c30766b5a5636"/>
    <w:p>
      <w:pPr>
        <w:pStyle w:val="Heading3"/>
      </w:pPr>
      <w:r>
        <w:t xml:space="preserve">4. Operational Recommendations from Audit Team</w:t>
      </w:r>
    </w:p>
    <w:p>
      <w:pPr>
        <w:pStyle w:val="FirstParagraph"/>
      </w:pPr>
      <w:r>
        <w:t xml:space="preserve">Based on exhaustive analysis of Santiago's sales operations, the Auditor proposes these priority actions:</w:t>
      </w:r>
    </w:p>
    <w:p>
      <w:pPr>
        <w:numPr>
          <w:ilvl w:val="0"/>
          <w:numId w:val="1003"/>
        </w:numPr>
        <w:pStyle w:val="Compact"/>
      </w:pPr>
      <w:r>
        <w:rPr>
          <w:bCs/>
          <w:b/>
        </w:rPr>
        <w:t xml:space="preserve">Chile Compliance Hub</w:t>
      </w:r>
      <w:r>
        <w:t xml:space="preserve">: Establish dedicated Chilean tax compliance officer in Santiago office by Q1 2024 (projected cost: $48K/year; projected ROI: $315K through penalty avoidance)</w:t>
      </w:r>
    </w:p>
    <w:p>
      <w:pPr>
        <w:numPr>
          <w:ilvl w:val="0"/>
          <w:numId w:val="1003"/>
        </w:numPr>
        <w:pStyle w:val="Compact"/>
      </w:pPr>
      <w:r>
        <w:rPr>
          <w:bCs/>
          <w:b/>
        </w:rPr>
        <w:t xml:space="preserve">CRM Optimization</w:t>
      </w:r>
      <w:r>
        <w:t xml:space="preserve">: Implement Salesforce workflow automation for RUT verification and invoice generation, reducing processing time from 5.7 days to 1.2 days</w:t>
      </w:r>
    </w:p>
    <w:p>
      <w:pPr>
        <w:numPr>
          <w:ilvl w:val="0"/>
          <w:numId w:val="1003"/>
        </w:numPr>
        <w:pStyle w:val="Compact"/>
      </w:pPr>
      <w:r>
        <w:rPr>
          <w:bCs/>
          <w:b/>
        </w:rPr>
        <w:t xml:space="preserve">Santiago Sales Training</w:t>
      </w:r>
      <w:r>
        <w:t xml:space="preserve">: Mandatory quarterly workshops on Chilean commercial law (Ley General de Comercio) for all sales personnel in Santiago</w:t>
      </w:r>
    </w:p>
    <w:bookmarkEnd w:id="24"/>
    <w:bookmarkStart w:id="25" w:name="financial-impact-projection"/>
    <w:p>
      <w:pPr>
        <w:pStyle w:val="Heading3"/>
      </w:pPr>
      <w:r>
        <w:t xml:space="preserve">5. Financial Impact Projection</w:t>
      </w:r>
    </w:p>
    <w:p>
      <w:pPr>
        <w:pStyle w:val="FirstParagraph"/>
      </w:pPr>
      <w:r>
        <w:t xml:space="preserve">The Sales Report quantifies the financial implications of implementing Audit recommendations: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Action</w:t>
            </w:r>
          </w:p>
        </w:tc>
        <w:tc>
          <w:tcPr/>
          <w:p>
            <w:pPr>
              <w:pStyle w:val="Compact"/>
              <w:jc w:val="left"/>
            </w:pPr>
            <w:r>
              <w:t xml:space="preserve">Implementation Cost (USD)</w:t>
            </w:r>
          </w:p>
        </w:tc>
        <w:tc>
          <w:tcPr/>
          <w:p>
            <w:pPr>
              <w:pStyle w:val="Compact"/>
              <w:jc w:val="left"/>
            </w:pPr>
            <w:r>
              <w:t xml:space="preserve">Annual Savings (USD)</w:t>
            </w:r>
          </w:p>
        </w:tc>
        <w:tc>
          <w:tcPr/>
          <w:p>
            <w:pPr>
              <w:pStyle w:val="Compact"/>
              <w:jc w:val="left"/>
            </w:pPr>
            <w:r>
              <w:t xml:space="preserve">ROI Timeline</w:t>
            </w:r>
          </w:p>
        </w:tc>
      </w:tr>
      <w:tr>
        <w:tc>
          <w:tcPr/>
          <w:p>
            <w:pPr>
              <w:pStyle w:val="Compact"/>
              <w:jc w:val="left"/>
            </w:pPr>
            <w:r>
              <w:t xml:space="preserve">Compliance Officer &amp; Systems</w:t>
            </w:r>
          </w:p>
        </w:tc>
        <w:tc>
          <w:tcPr/>
          <w:p>
            <w:pPr>
              <w:pStyle w:val="Compact"/>
              <w:jc w:val="left"/>
            </w:pPr>
            <w:r>
              <w:t xml:space="preserve">$48,000</w:t>
            </w:r>
          </w:p>
        </w:tc>
        <w:tc>
          <w:tcPr/>
          <w:p>
            <w:pPr>
              <w:pStyle w:val="Compact"/>
              <w:jc w:val="left"/>
            </w:pPr>
            <w:r>
              <w:t xml:space="preserve">$315,247</w:t>
            </w:r>
          </w:p>
        </w:tc>
        <w:tc>
          <w:tcPr/>
          <w:p>
            <w:pPr>
              <w:pStyle w:val="Compact"/>
              <w:jc w:val="left"/>
            </w:pPr>
            <w:r>
              <w:t xml:space="preserve">1.3 months</w:t>
            </w:r>
          </w:p>
        </w:tc>
      </w:tr>
      <w:tr>
        <w:tc>
          <w:tcPr/>
          <w:p>
            <w:pPr>
              <w:pStyle w:val="Compact"/>
              <w:jc w:val="left"/>
            </w:pPr>
            <w:r>
              <w:t xml:space="preserve">CRM Automation Suite</w:t>
            </w:r>
          </w:p>
        </w:tc>
        <w:tc>
          <w:tcPr/>
          <w:p>
            <w:pPr>
              <w:pStyle w:val="Compact"/>
              <w:jc w:val="left"/>
            </w:pPr>
            <w:r>
              <w:t xml:space="preserve">$92,500</w:t>
            </w:r>
          </w:p>
        </w:tc>
        <w:tc>
          <w:tcPr/>
          <w:p>
            <w:pPr>
              <w:pStyle w:val="Compact"/>
              <w:jc w:val="left"/>
            </w:pPr>
            <w:r>
              <w:t xml:space="preserve">$186,700 (processing time reduction)</w:t>
            </w:r>
          </w:p>
        </w:tc>
        <w:tc>
          <w:tcPr/>
          <w:p>
            <w:pPr>
              <w:pStyle w:val="Compact"/>
              <w:jc w:val="left"/>
            </w:pPr>
            <w:r>
              <w:t xml:space="preserve">5.8 months</w:t>
            </w:r>
          </w:p>
        </w:tc>
      </w:tr>
      <w:tr>
        <w:tc>
          <w:tcPr/>
          <w:p>
            <w:pPr>
              <w:pStyle w:val="Compact"/>
              <w:jc w:val="left"/>
            </w:pPr>
            <w:r>
              <w:t xml:space="preserve">Total Investment</w:t>
            </w:r>
          </w:p>
        </w:tc>
        <w:tc>
          <w:tcPr/>
          <w:p>
            <w:pPr>
              <w:pStyle w:val="Compact"/>
              <w:jc w:val="left"/>
            </w:pPr>
            <w:r>
              <w:rPr>
                <w:bCs/>
                <w:b/>
              </w:rPr>
              <w:t xml:space="preserve">$140,500</w:t>
            </w:r>
          </w:p>
        </w:tc>
        <w:tc>
          <w:tcPr/>
          <w:p>
            <w:pPr>
              <w:pStyle w:val="Compact"/>
              <w:jc w:val="left"/>
            </w:pPr>
            <w:r>
              <w:rPr>
                <w:bCs/>
                <w:b/>
              </w:rPr>
              <w:t xml:space="preserve">$501,947 Annual Savings</w:t>
            </w:r>
          </w:p>
        </w:tc>
        <w:tc>
          <w:tcPr/>
          <w:p>
            <w:pPr>
              <w:pStyle w:val="Compact"/>
              <w:jc w:val="left"/>
            </w:pPr>
            <w:r>
              <w:rPr>
                <w:bCs/>
                <w:b/>
              </w:rPr>
              <w:t xml:space="preserve">2.2 months payback period</w:t>
            </w:r>
          </w:p>
        </w:tc>
      </w:tr>
    </w:tbl>
    <w:bookmarkEnd w:id="25"/>
    <w:bookmarkStart w:id="28" w:name="X0b7c7fe929c23c26744c8925fdc705c1c2fbc29"/>
    <w:p>
      <w:pPr>
        <w:pStyle w:val="Heading3"/>
      </w:pPr>
      <w:r>
        <w:t xml:space="preserve">6. Conclusion: Santiago's Strategic Positioning</w:t>
      </w:r>
    </w:p>
    <w:p>
      <w:pPr>
        <w:pStyle w:val="FirstParagraph"/>
      </w:pPr>
      <w:r>
        <w:t xml:space="preserve">The Chile Santiago market represents our most valuable Latin American asset, but requires strategic investment to maintain compliance and growth momentum. This Sales Report confirms that while sales performance exceeds targets, our financial controls are vulnerable to regulatory action without immediate Auditor-suggested interventions.</w:t>
      </w:r>
    </w:p>
    <w:p>
      <w:pPr>
        <w:pStyle w:val="BodyText"/>
      </w:pPr>
      <w:r>
        <w:t xml:space="preserve">As emphasized throughout this report: The role of the Auditor is not merely compliance-driven but fundamentally strategic – protecting revenue streams and enabling sustainable growth. In Chile Santiago's competitive landscape (where 73% of B2B contracts require full tax verification), our Auditor's findings prevent potential $1.2M in annual penalty exposure.</w:t>
      </w:r>
    </w:p>
    <w:p>
      <w:pPr>
        <w:pStyle w:val="BodyText"/>
      </w:pPr>
      <w:r>
        <w:t xml:space="preserve">We recommend executive approval of all Audit recommendations within 45 days to position Santiago for the critical Q4 holiday season. The next sales cycle in Chile Santiago will be defined by whether we implement these controls – and the Auditor will conduct a follow-up verification on January 31, 2024.</w:t>
      </w:r>
    </w:p>
    <w:p>
      <w:pPr>
        <w:pStyle w:val="BodyText"/>
      </w:pPr>
      <w:r>
        <w:rPr>
          <w:bCs/>
          <w:b/>
        </w:rPr>
        <w:t xml:space="preserve">Report Authored By:</w:t>
      </w:r>
      <w:r>
        <w:t xml:space="preserve"> </w:t>
      </w:r>
      <w:r>
        <w:t xml:space="preserve">María Fernández, Certified Public Accountant (Chile)</w:t>
      </w:r>
      <w:r>
        <w:t xml:space="preserve"> </w:t>
      </w:r>
      <w:r>
        <w:rPr>
          <w:bCs/>
          <w:b/>
        </w:rPr>
        <w:t xml:space="preserve">Auditor Designation:</w:t>
      </w:r>
      <w:r>
        <w:t xml:space="preserve"> </w:t>
      </w:r>
      <w:r>
        <w:t xml:space="preserve">Senior Internal Auditor | Latin America Compliance Division</w:t>
      </w:r>
      <w:r>
        <w:t xml:space="preserve"> </w:t>
      </w:r>
      <w:r>
        <w:rPr>
          <w:bCs/>
          <w:b/>
        </w:rPr>
        <w:t xml:space="preserve">Date Prepared:</w:t>
      </w:r>
      <w:r>
        <w:t xml:space="preserve"> </w:t>
      </w:r>
      <w:r>
        <w:t xml:space="preserve">October 26, 2023</w:t>
      </w:r>
    </w:p>
    <w:p>
      <w:r>
        <w:pict>
          <v:rect style="width:0;height:1.5pt" o:hralign="center" o:hrstd="t" o:hr="t"/>
        </w:pict>
      </w:r>
    </w:p>
    <w:bookmarkStart w:id="26" w:name="X154ae4203b5f6b72eb5bf649d35341150d52fb7"/>
    <w:p>
      <w:pPr>
        <w:pStyle w:val="Heading4"/>
      </w:pPr>
      <w:r>
        <w:t xml:space="preserve">Appendix A: Chilean Regulatory Reference Points</w:t>
      </w:r>
    </w:p>
    <w:p>
      <w:pPr>
        <w:numPr>
          <w:ilvl w:val="0"/>
          <w:numId w:val="1004"/>
        </w:numPr>
        <w:pStyle w:val="Compact"/>
      </w:pPr>
      <w:r>
        <w:t xml:space="preserve">Ley N° 19.887 de Protección al Consumidor (Consumer Protection Law)</w:t>
      </w:r>
    </w:p>
    <w:p>
      <w:pPr>
        <w:numPr>
          <w:ilvl w:val="0"/>
          <w:numId w:val="1004"/>
        </w:numPr>
        <w:pStyle w:val="Compact"/>
      </w:pPr>
      <w:r>
        <w:t xml:space="preserve">Ley N° 19.500 de Comercio (Commercial Code Article 532: Invoice Requirements)</w:t>
      </w:r>
    </w:p>
    <w:p>
      <w:pPr>
        <w:numPr>
          <w:ilvl w:val="0"/>
          <w:numId w:val="1004"/>
        </w:numPr>
        <w:pStyle w:val="Compact"/>
      </w:pPr>
      <w:r>
        <w:t xml:space="preserve">Servicio de Impuestos Internos Resolution N° 36/2018 (RUT Verification Protocol)</w:t>
      </w:r>
    </w:p>
    <w:bookmarkEnd w:id="26"/>
    <w:bookmarkStart w:id="27" w:name="Xdd6101d73b14819c2d53c7893aad63338effe2f"/>
    <w:p>
      <w:pPr>
        <w:pStyle w:val="Heading4"/>
      </w:pPr>
      <w:r>
        <w:t xml:space="preserve">Appendix B: Santiago Sales Performance Benchmarks</w:t>
      </w:r>
    </w:p>
    <w:p>
      <w:pPr>
        <w:pStyle w:val="FirstParagraph"/>
      </w:pPr>
      <w:r>
        <w:rPr>
          <w:bCs/>
          <w:b/>
        </w:rPr>
        <w:t xml:space="preserve">Current Market Position:</w:t>
      </w:r>
      <w:r>
        <w:t xml:space="preserve"> </w:t>
      </w:r>
      <w:r>
        <w:t xml:space="preserve">#2 in Chilean enterprise software (behind only SAP Chile)</w:t>
      </w:r>
      <w:r>
        <w:br/>
      </w:r>
      <w:r>
        <w:rPr>
          <w:bCs/>
          <w:b/>
        </w:rPr>
        <w:t xml:space="preserve">Revenue Growth vs. National Avg:</w:t>
      </w:r>
      <w:r>
        <w:t xml:space="preserve"> </w:t>
      </w:r>
      <w:r>
        <w:t xml:space="preserve">17% vs. 6.3% (Chilean market)</w:t>
      </w:r>
    </w:p>
    <w:p>
      <w:pPr>
        <w:pStyle w:val="BodyText"/>
      </w:pPr>
      <w:r>
        <w:t xml:space="preserve">This Sales Report constitutes official documentation for all Chile Santiago operations and must be retained per Chilean corporate record-keeping requirements (Ley N° 18.960).</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Audit Report - Chile Santiago</dc:title>
  <dc:creator/>
  <dc:language>en</dc:language>
  <cp:keywords/>
  <dcterms:created xsi:type="dcterms:W3CDTF">2025-12-12T11:50:36Z</dcterms:created>
  <dcterms:modified xsi:type="dcterms:W3CDTF">2025-12-12T11:50:36Z</dcterms:modified>
</cp:coreProperties>
</file>

<file path=docProps/custom.xml><?xml version="1.0" encoding="utf-8"?>
<Properties xmlns="http://schemas.openxmlformats.org/officeDocument/2006/custom-properties" xmlns:vt="http://schemas.openxmlformats.org/officeDocument/2006/docPropsVTypes"/>
</file>