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6" w:name="X3a0ba2fac05dbf9999e52eb8ccb8a2e2ed62692"/>
    <w:p>
      <w:pPr>
        <w:pStyle w:val="Heading1"/>
      </w:pPr>
      <w:r>
        <w:t xml:space="preserve">Sales Report: Auditor Services Performance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Asia-Pacific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and strategic progress of our Auditor services within the critical China Beijing market. The Beijing region has emerged as a pivotal hub for our global client acquisition strategy, where specialized Auditor expertise directly correlates with significant revenue growth. During Q3 2023 alone, our Auditor-led engagements generated RMB 47.8 million in new sales, representing a 19% year-over-year increase and exceeding regional targets by 12%. This report underscores the indispensable role of the Auditor as both a service deliverer and strategic business development catalyst within Beijing's complex regulatory environment. Our success demonstrates that tailored Auditor solutions are not merely compliance tools but primary drivers of client retention and expansion in China's most dynamic financial market.</w:t>
      </w:r>
    </w:p>
    <w:bookmarkEnd w:id="20"/>
    <w:bookmarkStart w:id="21" w:name="Xa3c7401797349da6fab8bf2704a798ca8087529"/>
    <w:p>
      <w:pPr>
        <w:pStyle w:val="Heading2"/>
      </w:pPr>
      <w:r>
        <w:t xml:space="preserve">II. Market Analysis: China Beijing Context</w:t>
      </w:r>
    </w:p>
    <w:p>
      <w:pPr>
        <w:pStyle w:val="FirstParagraph"/>
      </w:pPr>
      <w:r>
        <w:t xml:space="preserve">Beijing remains the political, economic, and financial nerve center of China, hosting headquarters for 65% of Fortune 500 companies operating in the mainland and numerous multinational corporations (MNCs) navigating intricate Chinese accounting standards (CAS) and regulatory frameworks. The demand for expert Auditor services has surged due to several factors:</w:t>
      </w:r>
    </w:p>
    <w:p>
      <w:pPr>
        <w:numPr>
          <w:ilvl w:val="0"/>
          <w:numId w:val="1001"/>
        </w:numPr>
        <w:pStyle w:val="Compact"/>
      </w:pPr>
      <w:r>
        <w:t xml:space="preserve">Increased compliance pressure from the China Securities Regulatory Commission (CSRC) and State Administration of Taxation.</w:t>
      </w:r>
    </w:p>
    <w:p>
      <w:pPr>
        <w:numPr>
          <w:ilvl w:val="0"/>
          <w:numId w:val="1001"/>
        </w:numPr>
        <w:pStyle w:val="Compact"/>
      </w:pPr>
      <w:r>
        <w:t xml:space="preserve">Stringent implementation of new CAS 15 (Revenue Recognition) and CAS 21 (Leases).</w:t>
      </w:r>
    </w:p>
    <w:p>
      <w:pPr>
        <w:numPr>
          <w:ilvl w:val="0"/>
          <w:numId w:val="1001"/>
        </w:numPr>
        <w:pStyle w:val="Compact"/>
      </w:pPr>
      <w:r>
        <w:t xml:space="preserve">Rising foreign ownership requiring cross-border audit coordination with local firms.</w:t>
      </w:r>
    </w:p>
    <w:p>
      <w:pPr>
        <w:numPr>
          <w:ilvl w:val="0"/>
          <w:numId w:val="1001"/>
        </w:numPr>
        <w:pStyle w:val="Compact"/>
      </w:pPr>
      <w:r>
        <w:t xml:space="preserve">Beijing's status as a pilot zone for financial technology innovation, demanding specialized auditor skills in fintech auditing.</w:t>
      </w:r>
    </w:p>
    <w:p>
      <w:pPr>
        <w:pStyle w:val="FirstParagraph"/>
      </w:pPr>
      <w:r>
        <w:t xml:space="preserve">This environment creates a high-value opportunity for an Auditor who understands both international standards (ISA) and Beijing-specific regulatory nuances. Our localized Auditor training programs, emphasizing CAS interpretation and Beijing regulatory protocols, have been instrumental in capturing market share.</w:t>
      </w:r>
    </w:p>
    <w:bookmarkEnd w:id="21"/>
    <w:bookmarkStart w:id="22" w:name="X5a96e8536da628bbf0d996a6c6a56d089e30cd4"/>
    <w:p>
      <w:pPr>
        <w:pStyle w:val="Heading2"/>
      </w:pPr>
      <w:r>
        <w:t xml:space="preserve">III. Sales Performance: Auditor-Driven Revenue Growth</w:t>
      </w:r>
    </w:p>
    <w:p>
      <w:pPr>
        <w:pStyle w:val="FirstParagraph"/>
      </w:pPr>
      <w:r>
        <w:t xml:space="preserve">The role of the Auditor has evolved beyond traditional compliance to become a key sales engine. This year's results demonstrate this transformation:</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Auditor Engagements in Beijing (Clients)</w:t>
      </w:r>
    </w:p>
    <w:p>
      <w:pPr>
        <w:pStyle w:val="BodyText"/>
      </w:pPr>
      <w:r>
        <w:t xml:space="preserve">47</w:t>
      </w:r>
    </w:p>
    <w:p>
      <w:pPr>
        <w:pStyle w:val="BodyText"/>
      </w:pPr>
      <w:r>
        <w:t xml:space="preserve">35</w:t>
      </w:r>
    </w:p>
    <w:p>
      <w:pPr>
        <w:pStyle w:val="BodyText"/>
      </w:pPr>
      <w:r>
        <w:t xml:space="preserve">+34.3%</w:t>
      </w:r>
    </w:p>
    <w:p>
      <w:pPr>
        <w:pStyle w:val="BodyText"/>
      </w:pPr>
      <w:r>
        <w:t xml:space="preserve">Auditor-Generated Revenue (RMB)</w:t>
      </w:r>
    </w:p>
    <w:p>
      <w:pPr>
        <w:pStyle w:val="BodyText"/>
      </w:pPr>
      <w:r>
        <w:t xml:space="preserve">47,800,000</w:t>
      </w:r>
    </w:p>
    <w:p>
      <w:pPr>
        <w:pStyle w:val="BodyText"/>
      </w:pPr>
      <w:r>
        <w:t xml:space="preserve">41,250,000</w:t>
      </w:r>
    </w:p>
    <w:p>
      <w:pPr>
        <w:pStyle w:val="BodyText"/>
      </w:pPr>
      <w:r>
        <w:t xml:space="preserve">+15.9%</w:t>
      </w:r>
    </w:p>
    <w:p>
      <w:pPr>
        <w:pStyle w:val="BodyText"/>
      </w:pPr>
      <w:r>
        <w:t xml:space="preserve">Client Retention Rate (Auditor Clients)</w:t>
      </w:r>
    </w:p>
    <w:p>
      <w:pPr>
        <w:pStyle w:val="BodyText"/>
      </w:pPr>
      <w:r>
        <w:t xml:space="preserve">92%</w:t>
      </w:r>
    </w:p>
    <w:p>
      <w:pPr>
        <w:pStyle w:val="BodyText"/>
      </w:pPr>
      <w:r>
        <w:t xml:space="preserve">86%</w:t>
      </w:r>
    </w:p>
    <w:p>
      <w:pPr>
        <w:pStyle w:val="BodyText"/>
      </w:pPr>
      <w:r>
        <w:t xml:space="preserve">+6.0pp</w:t>
      </w:r>
    </w:p>
    <w:p>
      <w:pPr>
        <w:pStyle w:val="BodyText"/>
      </w:pPr>
      <w:r>
        <w:t xml:space="preserve">Audit-Related Cross-Sell Rate</w:t>
      </w:r>
    </w:p>
    <w:p>
      <w:pPr>
        <w:pStyle w:val="BodyText"/>
      </w:pPr>
      <w:r>
        <w:t xml:space="preserve">38%</w:t>
      </w:r>
    </w:p>
    <w:p>
      <w:pPr>
        <w:pStyle w:val="BodyText"/>
      </w:pPr>
      <w:r>
        <w:t xml:space="preserve">The data reveals a clear correlation: clients who engage our Beijing-based Auditor teams exhibit significantly higher lifetime value (LTV) and are 2.1x more likely to purchase additional advisory services (e.g., tax structuring, ESG reporting). The Auditor serves as the trusted point of contact, building relationships that facilitate broader service adoption – a critical advantage in China's relationship-driven business culture. For example, an engagement with a major Beijing-headquartered tech firm initially requested only a statutory audit; the Auditor identified significant transfer pricing risks during the process, leading to a subsequent RMB 8 million tax advisory contract.</w:t>
      </w:r>
    </w:p>
    <w:bookmarkEnd w:id="22"/>
    <w:bookmarkStart w:id="23" w:name="X14da2a685bcaffcd0c037c8c59cb40ab761539a"/>
    <w:p>
      <w:pPr>
        <w:pStyle w:val="Heading2"/>
      </w:pPr>
      <w:r>
        <w:t xml:space="preserve">IV. Key Challenges &amp; Strategic Responses in China Beijing</w:t>
      </w:r>
    </w:p>
    <w:p>
      <w:pPr>
        <w:pStyle w:val="FirstParagraph"/>
      </w:pPr>
      <w:r>
        <w:t xml:space="preserve">Operating effectively as an Auditor in Beijing requires navigating unique challenges:</w:t>
      </w:r>
    </w:p>
    <w:p>
      <w:pPr>
        <w:numPr>
          <w:ilvl w:val="0"/>
          <w:numId w:val="1002"/>
        </w:numPr>
        <w:pStyle w:val="Compact"/>
      </w:pPr>
      <w:r>
        <w:rPr>
          <w:bCs/>
          <w:b/>
        </w:rPr>
        <w:t xml:space="preserve">Cultural Nuance &amp; Communication:</w:t>
      </w:r>
      <w:r>
        <w:t xml:space="preserve"> </w:t>
      </w:r>
      <w:r>
        <w:t xml:space="preserve">Local business etiquette demands relationship-building before transactional discussions. Our Auditor teams now incorporate mandatory cultural training and leverage local Mandarin-speaking staff for client meetings, improving rapport and closing rates.</w:t>
      </w:r>
    </w:p>
    <w:p>
      <w:pPr>
        <w:numPr>
          <w:ilvl w:val="0"/>
          <w:numId w:val="1002"/>
        </w:numPr>
        <w:pStyle w:val="Compact"/>
      </w:pPr>
      <w:r>
        <w:rPr>
          <w:bCs/>
          <w:b/>
        </w:rPr>
        <w:t xml:space="preserve">Regulatory Volatility:</w:t>
      </w:r>
      <w:r>
        <w:t xml:space="preserve"> </w:t>
      </w:r>
      <w:r>
        <w:t xml:space="preserve">Beijing's rapid adoption of new accounting rules creates audit scope uncertainty. Our Auditor team proactively participates in CICPA (China Institute of Certified Public Accountants) working groups, ensuring our service delivery stays ahead of regulatory shifts – a key selling point.</w:t>
      </w:r>
    </w:p>
    <w:p>
      <w:pPr>
        <w:numPr>
          <w:ilvl w:val="0"/>
          <w:numId w:val="1002"/>
        </w:numPr>
        <w:pStyle w:val="Compact"/>
      </w:pPr>
      <w:r>
        <w:rPr>
          <w:bCs/>
          <w:b/>
        </w:rPr>
        <w:t xml:space="preserve">Talent Competition:</w:t>
      </w:r>
      <w:r>
        <w:t xml:space="preserve"> </w:t>
      </w:r>
      <w:r>
        <w:t xml:space="preserve">Top local auditors are highly sought by Big 4 firms. We implemented Beijing-specific retention bonuses and accelerated career paths for Auditor staff, reducing turnover to 8% (vs. industry average of 15%).</w:t>
      </w:r>
    </w:p>
    <w:bookmarkEnd w:id="23"/>
    <w:bookmarkStart w:id="24" w:name="X304803e57303dc9299800d2969dd6f7459bb296"/>
    <w:p>
      <w:pPr>
        <w:pStyle w:val="Heading2"/>
      </w:pPr>
      <w:r>
        <w:t xml:space="preserve">V. Future Strategy: Scaling the Auditor Advantage in China Beijing</w:t>
      </w:r>
    </w:p>
    <w:p>
      <w:pPr>
        <w:pStyle w:val="FirstParagraph"/>
      </w:pPr>
      <w:r>
        <w:t xml:space="preserve">To capitalize on our success, the following initiatives are prioritized for Q4 2023 and beyond:</w:t>
      </w:r>
    </w:p>
    <w:p>
      <w:pPr>
        <w:numPr>
          <w:ilvl w:val="0"/>
          <w:numId w:val="1003"/>
        </w:numPr>
        <w:pStyle w:val="Compact"/>
      </w:pPr>
      <w:r>
        <w:rPr>
          <w:bCs/>
          <w:b/>
        </w:rPr>
        <w:t xml:space="preserve">Beijing-Specific Auditor Certification Program:</w:t>
      </w:r>
      <w:r>
        <w:t xml:space="preserve"> </w:t>
      </w:r>
      <w:r>
        <w:t xml:space="preserve">Launching a specialized training module certifying Auditors in CAS 15, Beijing tax incentives, and fintech audit protocols by Q2 2024.</w:t>
      </w:r>
    </w:p>
    <w:p>
      <w:pPr>
        <w:numPr>
          <w:ilvl w:val="0"/>
          <w:numId w:val="1003"/>
        </w:numPr>
        <w:pStyle w:val="Compact"/>
      </w:pPr>
      <w:r>
        <w:rPr>
          <w:bCs/>
          <w:b/>
        </w:rPr>
        <w:t xml:space="preserve">Data-Driven Sales Enablement:</w:t>
      </w:r>
      <w:r>
        <w:t xml:space="preserve"> </w:t>
      </w:r>
      <w:r>
        <w:t xml:space="preserve">Developing a Beijing Market Intelligence Dashboard for all Auditors, tracking regulatory changes and client industry trends to identify proactive sales opportunities.</w:t>
      </w:r>
    </w:p>
    <w:p>
      <w:pPr>
        <w:numPr>
          <w:ilvl w:val="0"/>
          <w:numId w:val="1003"/>
        </w:numPr>
        <w:pStyle w:val="Compact"/>
      </w:pPr>
      <w:r>
        <w:rPr>
          <w:bCs/>
          <w:b/>
        </w:rPr>
        <w:t xml:space="preserve">Strategic Partnership Expansion:</w:t>
      </w:r>
      <w:r>
        <w:t xml:space="preserve"> </w:t>
      </w:r>
      <w:r>
        <w:t xml:space="preserve">Deepening collaboration with local Beijing accounting firms (e.g., Ruihua, Tianjian) to co-deliver integrated audit and advisory services on a larger scale.</w:t>
      </w:r>
    </w:p>
    <w:p>
      <w:pPr>
        <w:pStyle w:val="FirstParagraph"/>
      </w:pPr>
      <w:r>
        <w:t xml:space="preserve">The investment in specialized Auditor capabilities is directly yielding market share gains. As we look toward 2024, the China Beijing market represents a high-potential growth engine where the strategic value of our Auditor service model is undeniable. Continued focus on embedding the Auditor as a trusted advisor—not just a compliance provider—will be central to capturing 30% of Beijing's high-value audit market by end-2024.</w:t>
      </w:r>
    </w:p>
    <w:bookmarkEnd w:id="24"/>
    <w:bookmarkStart w:id="25" w:name="vi.-conclusion"/>
    <w:p>
      <w:pPr>
        <w:pStyle w:val="Heading2"/>
      </w:pPr>
      <w:r>
        <w:t xml:space="preserve">VI. Conclusion</w:t>
      </w:r>
    </w:p>
    <w:p>
      <w:pPr>
        <w:pStyle w:val="FirstParagraph"/>
      </w:pPr>
      <w:r>
        <w:t xml:space="preserve">This Sales Report confirms that in China Beijing, the Auditor is not merely a service role but the linchpin of our commercial success. The consistent revenue growth driven by Auditor-led engagements underscores a powerful market truth: clients seek expertise that bridges international standards with Beijing's unique regulatory landscape. Our strategic investment in localized Auditor talent and processes has delivered demonstrable results, positioning us for accelerated growth in this critical market. We recommend continued prioritization of the Auditor function as the primary sales driver within China Beijing operations, ensuring sustained competitive advantage and revenue leadership.</w:t>
      </w:r>
    </w:p>
    <w:p>
      <w:pPr>
        <w:pStyle w:val="BodyText"/>
      </w:pPr>
      <w:r>
        <w:rPr>
          <w:bCs/>
          <w:b/>
        </w:rPr>
        <w:t xml:space="preserve">Prepared By:</w:t>
      </w:r>
      <w:r>
        <w:t xml:space="preserve"> </w:t>
      </w:r>
      <w:r>
        <w:t xml:space="preserve">Global Sales Strategy Team</w:t>
      </w:r>
      <w:r>
        <w:br/>
      </w:r>
      <w:r>
        <w:rPr>
          <w:bCs/>
          <w:b/>
        </w:rPr>
        <w:t xml:space="preserve">Approved By:</w:t>
      </w:r>
      <w:r>
        <w:t xml:space="preserve"> </w:t>
      </w:r>
      <w:r>
        <w:t xml:space="preserve">Regional Director, APAC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Report: Auditor Services Performance &amp; Strategic Outlook</dc:title>
  <dc:creator/>
  <cp:keywords/>
  <dcterms:created xsi:type="dcterms:W3CDTF">2026-07-21T13:05:12Z</dcterms:created>
  <dcterms:modified xsi:type="dcterms:W3CDTF">2026-07-21T13:05:12Z</dcterms:modified>
</cp:coreProperties>
</file>

<file path=docProps/custom.xml><?xml version="1.0" encoding="utf-8"?>
<Properties xmlns="http://schemas.openxmlformats.org/officeDocument/2006/custom-properties" xmlns:vt="http://schemas.openxmlformats.org/officeDocument/2006/docPropsVTypes"/>
</file>