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Paris</w:t>
      </w:r>
      <w:r>
        <w:t xml:space="preserve"> </w:t>
      </w:r>
      <w:r>
        <w:t xml:space="preserve">Sales</w:t>
      </w:r>
      <w:r>
        <w:t xml:space="preserve"> </w:t>
      </w:r>
      <w:r>
        <w:t xml:space="preserve">Performance</w:t>
      </w:r>
      <w:r>
        <w:t xml:space="preserve"> </w:t>
      </w:r>
      <w:r>
        <w:t xml:space="preserve">&amp;</w:t>
      </w:r>
      <w:r>
        <w:t xml:space="preserve"> </w:t>
      </w:r>
      <w:r>
        <w:t xml:space="preserve">Compliance</w:t>
      </w:r>
      <w:r>
        <w:t xml:space="preserve"> </w:t>
      </w:r>
      <w:r>
        <w:t xml:space="preserve">Audit</w:t>
      </w:r>
      <w:r>
        <w:t xml:space="preserve"> </w:t>
      </w:r>
      <w:r>
        <w:t xml:space="preserve">Report</w:t>
      </w:r>
      <w:r>
        <w:t xml:space="preserve"> </w:t>
      </w:r>
      <w:r>
        <w:t xml:space="preserve">-</w:t>
      </w:r>
      <w:r>
        <w:t xml:space="preserve"> </w:t>
      </w:r>
      <w:r>
        <w:t xml:space="preserve">Q3</w:t>
      </w:r>
      <w:r>
        <w:t xml:space="preserve"> </w:t>
      </w:r>
      <w:r>
        <w:t xml:space="preserve">2024</w:t>
      </w:r>
    </w:p>
    <w:bookmarkStart w:id="29" w:name="Xf31f325a348e423876bba5ee812f98cae087c83"/>
    <w:p>
      <w:pPr>
        <w:pStyle w:val="Heading1"/>
      </w:pPr>
      <w:r>
        <w:t xml:space="preserve">Q3 2024 Sales Performance &amp; Compliance Audit Report: Paris Operations</w:t>
      </w:r>
    </w:p>
    <w:p>
      <w:pPr>
        <w:pStyle w:val="FirstParagraph"/>
      </w:pPr>
      <w:r>
        <w:t xml:space="preserve">Delivered by the Global Compliance &amp; Revenue Assurance Team | Prepared for Executive Leadership | Date: October 26, 2024</w:t>
      </w:r>
    </w:p>
    <w:bookmarkStart w:id="20" w:name="executive-summary"/>
    <w:p>
      <w:pPr>
        <w:pStyle w:val="Heading2"/>
      </w:pPr>
      <w:r>
        <w:t xml:space="preserve">Executive Summary</w:t>
      </w:r>
    </w:p>
    <w:p>
      <w:pPr>
        <w:pStyle w:val="FirstParagraph"/>
      </w:pPr>
      <w:r>
        <w:t xml:space="preserve">This comprehensive Sales Report details the operational performance and regulatory compliance posture of our Paris-based commercial division during Q3 2024. Conducted by the dedicated European Auditor Team, this report integrates sales metrics with rigorous compliance validation—ensuring that all revenue generation activities align with French legal frameworks, GDPR requirements, and internal financial controls. The audit confirms that while sales growth in France Paris remains strong (7.3% YoY), critical gaps in documentation and client onboarding processes require immediate remediation to mitigate significant regulatory risk.</w:t>
      </w:r>
    </w:p>
    <w:p>
      <w:pPr>
        <w:pStyle w:val="BodyText"/>
      </w:pPr>
      <w:r>
        <w:rPr>
          <w:bCs/>
          <w:b/>
        </w:rPr>
        <w:t xml:space="preserve">Key Insight:</w:t>
      </w:r>
      <w:r>
        <w:t xml:space="preserve"> </w:t>
      </w:r>
      <w:r>
        <w:t xml:space="preserve">In the dynamic French market, effective Sales Reporting is inseparable from robust Auditing practices. This Q3 report demonstrates that compliance failures directly correlate with sales pipeline friction, impacting customer acquisition costs by 18% in the Paris region alone.</w:t>
      </w:r>
    </w:p>
    <w:bookmarkEnd w:id="20"/>
    <w:bookmarkStart w:id="21" w:name="scope-of-audit-methodology"/>
    <w:p>
      <w:pPr>
        <w:pStyle w:val="Heading2"/>
      </w:pPr>
      <w:r>
        <w:t xml:space="preserve">Scope of Audit &amp; Methodology</w:t>
      </w:r>
    </w:p>
    <w:p>
      <w:pPr>
        <w:pStyle w:val="FirstParagraph"/>
      </w:pPr>
      <w:r>
        <w:t xml:space="preserve">The scope specifically targeted all B2B sales activities conducted within France Paris (including the new La Défense office), covering:</w:t>
      </w:r>
    </w:p>
    <w:p>
      <w:pPr>
        <w:numPr>
          <w:ilvl w:val="0"/>
          <w:numId w:val="1001"/>
        </w:numPr>
        <w:pStyle w:val="Compact"/>
      </w:pPr>
      <w:r>
        <w:t xml:space="preserve">Client contract signatories and digital authorization trails</w:t>
      </w:r>
    </w:p>
    <w:p>
      <w:pPr>
        <w:numPr>
          <w:ilvl w:val="0"/>
          <w:numId w:val="1001"/>
        </w:numPr>
        <w:pStyle w:val="Compact"/>
      </w:pPr>
      <w:r>
        <w:t xml:space="preserve">Value-Added Tax (VAT) compliance on all invoices</w:t>
      </w:r>
    </w:p>
    <w:p>
      <w:pPr>
        <w:numPr>
          <w:ilvl w:val="0"/>
          <w:numId w:val="1001"/>
        </w:numPr>
        <w:pStyle w:val="Compact"/>
      </w:pPr>
      <w:r>
        <w:t xml:space="preserve">GDPR consent documentation for client data processing</w:t>
      </w:r>
    </w:p>
    <w:p>
      <w:pPr>
        <w:numPr>
          <w:ilvl w:val="0"/>
          <w:numId w:val="1001"/>
        </w:numPr>
        <w:pStyle w:val="Compact"/>
      </w:pPr>
      <w:r>
        <w:t xml:space="preserve">Sales commission calculations and disbursement records</w:t>
      </w:r>
    </w:p>
    <w:p>
      <w:pPr>
        <w:pStyle w:val="FirstParagraph"/>
      </w:pPr>
      <w:r>
        <w:t xml:space="preserve">The Auditor employed a hybrid methodology: 100% automated system validation via our Paris-hosted SAP environment, coupled with 35 random client file reviews across all sales teams. All findings were cross-referenced against the French Commercial Code (Code de Commerce) and Direction Générale des Finances Publiques (DGFiP) guidelines.</w:t>
      </w:r>
    </w:p>
    <w:bookmarkEnd w:id="21"/>
    <w:bookmarkStart w:id="22" w:name="quantitative-sales-performance-analysis"/>
    <w:p>
      <w:pPr>
        <w:pStyle w:val="Heading2"/>
      </w:pPr>
      <w:r>
        <w:t xml:space="preserve">Quantitative Sales Performance Analysis</w:t>
      </w:r>
    </w:p>
    <w:p>
      <w:pPr>
        <w:pStyle w:val="FirstParagraph"/>
      </w:pPr>
      <w:r>
        <w:t xml:space="preserve">KPI</w:t>
      </w:r>
    </w:p>
    <w:p>
      <w:pPr>
        <w:pStyle w:val="BodyText"/>
      </w:pPr>
      <w:r>
        <w:t xml:space="preserve">Q3 2024 Actual</w:t>
      </w:r>
    </w:p>
    <w:p>
      <w:pPr>
        <w:pStyle w:val="BodyText"/>
      </w:pPr>
      <w:r>
        <w:t xml:space="preserve">Target</w:t>
      </w:r>
    </w:p>
    <w:p>
      <w:pPr>
        <w:pStyle w:val="BodyText"/>
      </w:pPr>
      <w:r>
        <w:t xml:space="preserve">Variance (%)</w:t>
      </w:r>
    </w:p>
    <w:p>
      <w:pPr>
        <w:pStyle w:val="BodyText"/>
      </w:pPr>
      <w:r>
        <w:t xml:space="preserve">Sales Revenue (€)</w:t>
      </w:r>
    </w:p>
    <w:p>
      <w:pPr>
        <w:pStyle w:val="BodyText"/>
      </w:pPr>
      <w:r>
        <w:t xml:space="preserve">1,845,000</w:t>
      </w:r>
    </w:p>
    <w:p>
      <w:pPr>
        <w:pStyle w:val="BodyText"/>
      </w:pPr>
      <w:r>
        <w:t xml:space="preserve">1,750,000</w:t>
      </w:r>
    </w:p>
    <w:p>
      <w:pPr>
        <w:pStyle w:val="BodyText"/>
      </w:pPr>
      <w:r>
        <w:t xml:space="preserve">+5.4%</w:t>
      </w:r>
    </w:p>
    <w:p>
      <w:pPr>
        <w:pStyle w:val="BodyText"/>
      </w:pPr>
      <w:r>
        <w:t xml:space="preserve">New Client Acquisition</w:t>
      </w:r>
    </w:p>
    <w:p>
      <w:pPr>
        <w:pStyle w:val="BodyText"/>
      </w:pPr>
      <w:r>
        <w:t xml:space="preserve">42</w:t>
      </w:r>
    </w:p>
    <w:p>
      <w:pPr>
        <w:pStyle w:val="BodyText"/>
      </w:pPr>
      <w:r>
        <w:t xml:space="preserve">38</w:t>
      </w:r>
    </w:p>
    <w:p>
      <w:pPr>
        <w:pStyle w:val="BodyText"/>
      </w:pPr>
      <w:r>
        <w:t xml:space="preserve">+10.5%</w:t>
      </w:r>
    </w:p>
    <w:p>
      <w:pPr>
        <w:pStyle w:val="BodyText"/>
      </w:pPr>
      <w:r>
        <w:t xml:space="preserve">Cross-Sell Rate (Existing Clients)</w:t>
      </w:r>
    </w:p>
    <w:p>
      <w:pPr>
        <w:pStyle w:val="BodyText"/>
      </w:pPr>
      <w:r>
        <w:t xml:space="preserve">27%</w:t>
      </w:r>
    </w:p>
    <w:p>
      <w:pPr>
        <w:pStyle w:val="BodyText"/>
      </w:pPr>
      <w:r>
        <w:t xml:space="preserve">Client Churn Rate (Paris)</w:t>
      </w:r>
    </w:p>
    <w:p>
      <w:pPr>
        <w:pStyle w:val="BodyText"/>
      </w:pPr>
      <w:r>
        <w:t xml:space="preserve">8.1%</w:t>
      </w:r>
    </w:p>
    <w:p>
      <w:pPr>
        <w:pStyle w:val="BodyText"/>
      </w:pPr>
      <w:r>
        <w:t xml:space="preserve">6.5%</w:t>
      </w:r>
    </w:p>
    <w:p>
      <w:pPr>
        <w:pStyle w:val="BodyText"/>
      </w:pPr>
      <w:r>
        <w:t xml:space="preserve">+1.6 pp</w:t>
      </w:r>
    </w:p>
    <w:p>
      <w:pPr>
        <w:pStyle w:val="BodyText"/>
      </w:pPr>
      <w:r>
        <w:t xml:space="preserve">The positive revenue variance is noteworthy, but the 8.1% client churn rate—exceeding our Paris target by 25%—reveals a critical tension between sales velocity and compliance readiness. Our Auditor identified that 67% of departing clients cited "process inefficiencies during onboarding" as their primary reason for termination, directly linking to incomplete GDPR documentation (Article 30 requirements).</w:t>
      </w:r>
    </w:p>
    <w:bookmarkEnd w:id="22"/>
    <w:bookmarkStart w:id="26" w:name="X82a60b7cb588bee1188c7d6eb53b9dd1d4fc23b"/>
    <w:p>
      <w:pPr>
        <w:pStyle w:val="Heading2"/>
      </w:pPr>
      <w:r>
        <w:t xml:space="preserve">Compliance Gaps Impacting Sales Performance</w:t>
      </w:r>
    </w:p>
    <w:p>
      <w:pPr>
        <w:pStyle w:val="FirstParagraph"/>
      </w:pPr>
      <w:r>
        <w:t xml:space="preserve">During the France Paris Audit, three systemic issues were identified that actively hindered sales effectiveness:</w:t>
      </w:r>
    </w:p>
    <w:bookmarkStart w:id="23" w:name="X885a49aa9909ed9021778d9b8e69877de113640"/>
    <w:p>
      <w:pPr>
        <w:pStyle w:val="Heading3"/>
      </w:pPr>
      <w:r>
        <w:t xml:space="preserve">1. Inconsistent Digital Consent Management (GDPR Non-Compliance)</w:t>
      </w:r>
    </w:p>
    <w:p>
      <w:pPr>
        <w:pStyle w:val="FirstParagraph"/>
      </w:pPr>
      <w:r>
        <w:t xml:space="preserve">The most critical finding involved 28% of new client contracts lacking valid digital consent forms in our CRM. French data protection authority (CNIL) guidelines require explicit, timestamped consent for all data processing. This gap caused sales teams to spend an average of 4.2 hours per onboarding to manually rectify documentation—delaying revenue recognition and frustrating clients.</w:t>
      </w:r>
    </w:p>
    <w:bookmarkEnd w:id="23"/>
    <w:bookmarkStart w:id="24" w:name="Xea32051c3ea91b7b68e313042f1e0a796386852"/>
    <w:p>
      <w:pPr>
        <w:pStyle w:val="Heading3"/>
      </w:pPr>
      <w:r>
        <w:t xml:space="preserve">2. VAT Misclassification in High-Ticket Sales</w:t>
      </w:r>
    </w:p>
    <w:p>
      <w:pPr>
        <w:pStyle w:val="FirstParagraph"/>
      </w:pPr>
      <w:r>
        <w:t xml:space="preserve">Audit revealed that 15% of enterprise contracts (€50k+) were incorrectly labeled as "standard rate" (20%) instead of "reduced rate" (10%) applicable to certain professional services under French tax law. This resulted in €38,700 in overcharged VAT, triggering client disputes that damaged trust and delayed payment cycles by 14 days on average.</w:t>
      </w:r>
    </w:p>
    <w:bookmarkEnd w:id="24"/>
    <w:bookmarkStart w:id="25" w:name="commission-disbursement-delays"/>
    <w:p>
      <w:pPr>
        <w:pStyle w:val="Heading3"/>
      </w:pPr>
      <w:r>
        <w:t xml:space="preserve">3. Commission Disbursement Delays</w:t>
      </w:r>
    </w:p>
    <w:p>
      <w:pPr>
        <w:pStyle w:val="FirstParagraph"/>
      </w:pPr>
      <w:r>
        <w:t xml:space="preserve">Payment delays for sales teams (averaging 17 days vs. the 15-day policy) were traced to missing invoice approval trails in the Paris office. This directly impacted sales motivation—our Auditor noted a 22% drop in high-performing reps' engagement during Q3 as commission uncertainty rose.</w:t>
      </w:r>
    </w:p>
    <w:bookmarkEnd w:id="25"/>
    <w:bookmarkEnd w:id="26"/>
    <w:bookmarkStart w:id="27" w:name="Xb968eadaec2bb16800193598a8e2e83b49ea5e0"/>
    <w:p>
      <w:pPr>
        <w:pStyle w:val="Heading2"/>
      </w:pPr>
      <w:r>
        <w:t xml:space="preserve">Strategic Recommendations for France Paris</w:t>
      </w:r>
    </w:p>
    <w:p>
      <w:pPr>
        <w:pStyle w:val="FirstParagraph"/>
      </w:pPr>
      <w:r>
        <w:t xml:space="preserve">Based on this Sales Report and Auditor findings, we propose three immediate actions to align commercial growth with regulatory excellence:</w:t>
      </w:r>
    </w:p>
    <w:p>
      <w:pPr>
        <w:numPr>
          <w:ilvl w:val="0"/>
          <w:numId w:val="1002"/>
        </w:numPr>
        <w:pStyle w:val="Compact"/>
      </w:pPr>
      <w:r>
        <w:rPr>
          <w:bCs/>
          <w:b/>
        </w:rPr>
        <w:t xml:space="preserve">Implement CNIL-Compliant Digital Onboarding Suite (Paris Office):</w:t>
      </w:r>
      <w:r>
        <w:t xml:space="preserve"> </w:t>
      </w:r>
      <w:r>
        <w:t xml:space="preserve">Integrate a GDPR-certified consent module into our French Salesforce instance by Q1 2025, eliminating manual documentation. Estimated ROI: 3.7 hours saved per onboarding → €62k annual productivity gain.</w:t>
      </w:r>
    </w:p>
    <w:p>
      <w:pPr>
        <w:numPr>
          <w:ilvl w:val="0"/>
          <w:numId w:val="1002"/>
        </w:numPr>
        <w:pStyle w:val="Compact"/>
      </w:pPr>
      <w:r>
        <w:rPr>
          <w:bCs/>
          <w:b/>
        </w:rPr>
        <w:t xml:space="preserve">Launch VAT Compliance Training for Sales Leadership:</w:t>
      </w:r>
      <w:r>
        <w:t xml:space="preserve"> </w:t>
      </w:r>
      <w:r>
        <w:t xml:space="preserve">Mandatory certification for all Paris sales managers on French tax code updates (Article L411-20 of Code des Impôts) by December 15, 2024. This will prevent misclassifications and reduce client disputes.</w:t>
      </w:r>
    </w:p>
    <w:p>
      <w:pPr>
        <w:numPr>
          <w:ilvl w:val="0"/>
          <w:numId w:val="1002"/>
        </w:numPr>
        <w:pStyle w:val="Compact"/>
      </w:pPr>
      <w:r>
        <w:rPr>
          <w:bCs/>
          <w:b/>
        </w:rPr>
        <w:t xml:space="preserve">Automate Commission Validation Workflow:</w:t>
      </w:r>
      <w:r>
        <w:t xml:space="preserve"> </w:t>
      </w:r>
      <w:r>
        <w:t xml:space="preserve">Integrate the Paris sales finance team with our global compliance module to auto-validate invoice approvals before commission processing. Target: Reduce payment delays to ≤10 days by Q2 2025.</w:t>
      </w:r>
    </w:p>
    <w:p>
      <w:pPr>
        <w:pStyle w:val="FirstParagraph"/>
      </w:pPr>
      <w:r>
        <w:rPr>
          <w:bCs/>
          <w:b/>
        </w:rPr>
        <w:t xml:space="preserve">Paris-Specific Insight:</w:t>
      </w:r>
      <w:r>
        <w:t xml:space="preserve"> </w:t>
      </w:r>
      <w:r>
        <w:t xml:space="preserve">In France's tight-knit business culture, trust is paramount. The Auditor emphasizes that compliance isn't a sales barrier—it's the foundation for sustainable growth in Paris. Our data shows clients who experience seamless, compliant onboarding are 3.2x more likely to expand contracts within 12 months.</w:t>
      </w:r>
    </w:p>
    <w:bookmarkEnd w:id="27"/>
    <w:bookmarkStart w:id="28" w:name="conclusion"/>
    <w:p>
      <w:pPr>
        <w:pStyle w:val="Heading2"/>
      </w:pPr>
      <w:r>
        <w:t xml:space="preserve">Conclusion</w:t>
      </w:r>
    </w:p>
    <w:p>
      <w:pPr>
        <w:pStyle w:val="FirstParagraph"/>
      </w:pPr>
      <w:r>
        <w:t xml:space="preserve">The Q3 Sales Report for France Paris underscores a pivotal truth: Auditing must be woven into the sales fabric, not treated as a separate function. Our Paris office achieved solid revenue growth, but the compliance gaps exposed by the Auditor represent preventable risk that directly impacts sales velocity and customer lifetime value. By implementing these three recommendations—centered on GDPR, VAT, and commission efficiency—we project a 12% increase in client retention and €145k in recovered revenue within 18 months.</w:t>
      </w:r>
    </w:p>
    <w:p>
      <w:pPr>
        <w:pStyle w:val="BodyText"/>
      </w:pPr>
      <w:r>
        <w:t xml:space="preserve">As we navigate France's evolving regulatory landscape, the synergy between Sales Performance and Auditing will define our competitiveness. This report serves as both an accountability framework for Paris leadership and a roadmap to transform compliance from a cost center into a strategic sales enabler. The Auditor team stands ready to support all commercial initiatives with real-time compliance insights, ensuring every Paris-based sale adheres to the highest legal and ethical standards.</w:t>
      </w:r>
    </w:p>
    <w:p>
      <w:pPr>
        <w:pStyle w:val="BodyText"/>
      </w:pPr>
      <w:r>
        <w:t xml:space="preserve">Global Compliance &amp; Revenue Assurance Team | Confidential: For Internal Use Only | © 2024 ParisGlobal Solutions</w:t>
      </w:r>
    </w:p>
    <w:p>
      <w:pPr>
        <w:pStyle w:val="BodyText"/>
      </w:pPr>
      <w:r>
        <w:t xml:space="preserve">This document was prepared in accordance with French Commercial Code Articles 110-7, GDPR Article 35, and OECD Guidelines for Multinational Enterprises. All figures based on Paris office data (July–September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 Sales Performance &amp; Compliance Audit Report - Q3 2024</dc:title>
  <dc:creator/>
  <dc:language>en</dc:language>
  <cp:keywords/>
  <dcterms:created xsi:type="dcterms:W3CDTF">2026-07-21T02:44:58Z</dcterms:created>
  <dcterms:modified xsi:type="dcterms:W3CDTF">2026-07-21T02:44:58Z</dcterms:modified>
</cp:coreProperties>
</file>

<file path=docProps/custom.xml><?xml version="1.0" encoding="utf-8"?>
<Properties xmlns="http://schemas.openxmlformats.org/officeDocument/2006/custom-properties" xmlns:vt="http://schemas.openxmlformats.org/officeDocument/2006/docPropsVTypes"/>
</file>