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be6b7be741f9a10b12e7f9f4f9212b33892e170"/>
    <w:p>
      <w:pPr>
        <w:pStyle w:val="Heading1"/>
      </w:pPr>
      <w:r>
        <w:t xml:space="preserve">Sales Report: Growth and Strategic Expansion of Auditor Services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Germany Berlin Office</w:t>
      </w:r>
      <w:r>
        <w:br/>
      </w:r>
      <w:r>
        <w:rPr>
          <w:bCs/>
          <w:b/>
        </w:rPr>
        <w:t xml:space="preserve">Report Scope:</w:t>
      </w:r>
      <w:r>
        <w:t xml:space="preserve"> </w:t>
      </w:r>
      <w:r>
        <w:t xml:space="preserve">Sales Performance Analysis for Auditor Service Delivery (Q3 2023)</w:t>
      </w:r>
    </w:p>
    <w:bookmarkStart w:id="20" w:name="i.-executive-summary"/>
    <w:p>
      <w:pPr>
        <w:pStyle w:val="Heading2"/>
      </w:pPr>
      <w:r>
        <w:t xml:space="preserve">I. Executive Summary</w:t>
      </w:r>
    </w:p>
    <w:p>
      <w:pPr>
        <w:pStyle w:val="FirstParagraph"/>
      </w:pPr>
      <w:r>
        <w:t xml:space="preserve">This Sales Report details the performance and strategic progress of our Auditor service offerings within the critical market of Germany Berlin. As the financial hub of Eastern Germany, Berlin presents unique opportunities for specialized auditor services driven by stringent regulatory frameworks, a thriving startup ecosystem, and evolving GDPR compliance demands. Our focus on high-value auditor solutions has resulted in a 27% year-over-year increase in sales revenue for Q3 2023, solidifying our position as a preferred service provider in the region. This report underscores how our tailored Auditor expertise directly fuels sales growth within Germany Berlin's dynamic business landscape.</w:t>
      </w:r>
    </w:p>
    <w:bookmarkEnd w:id="20"/>
    <w:bookmarkStart w:id="21" w:name="X5bf08c618978d13b488884b68d9fad459b4b2e8"/>
    <w:p>
      <w:pPr>
        <w:pStyle w:val="Heading2"/>
      </w:pPr>
      <w:r>
        <w:t xml:space="preserve">II. Market Context: Auditor Demand in Berlin</w:t>
      </w:r>
    </w:p>
    <w:p>
      <w:pPr>
        <w:pStyle w:val="FirstParagraph"/>
      </w:pPr>
      <w:r>
        <w:t xml:space="preserve">Germany Berlin continues to emerge as a pivotal economic center, hosting over 40% of all German startups and numerous EU regulatory bodies. This environment creates intense demand for competent Auditor services to navigate complex compliance landscapes—particularly regarding the German Commercial Code (HGB), Taxation Laws, and strict GDPR data processing requirements. Our Sales team identified Berlin-based SMEs and scale-ups as high-potential clients requiring proactive auditor engagement to avoid costly penalties and enhance investor confidence. The local market’s shift toward digital transformation further amplifies the need for auditors with technological proficiency in areas like SAP integration and cloud-based audit trails, directly influencing our sales strategy.</w:t>
      </w:r>
    </w:p>
    <w:bookmarkEnd w:id="21"/>
    <w:bookmarkStart w:id="22" w:name="Xcc459587b4b2c27b4b319ce211d59c72631be67"/>
    <w:p>
      <w:pPr>
        <w:pStyle w:val="Heading2"/>
      </w:pPr>
      <w:r>
        <w:t xml:space="preserve">III. Sales Performance Highlights (Q3 2023)</w:t>
      </w:r>
    </w:p>
    <w:p>
      <w:pPr>
        <w:pStyle w:val="FirstParagraph"/>
      </w:pPr>
      <w:r>
        <w:t xml:space="preserve">Our Auditor service portfolio achieved remarkable traction across Berlin, contributing 41% of total regional revenue. Key performance indicators include:</w:t>
      </w:r>
    </w:p>
    <w:p>
      <w:pPr>
        <w:pStyle w:val="BodyText"/>
      </w:pPr>
      <w:r>
        <w:t xml:space="preserve">Service Type</w:t>
      </w:r>
    </w:p>
    <w:p>
      <w:pPr>
        <w:pStyle w:val="BodyText"/>
      </w:pPr>
      <w:r>
        <w:t xml:space="preserve">Q2 2023 Revenue (€)</w:t>
      </w:r>
    </w:p>
    <w:p>
      <w:pPr>
        <w:pStyle w:val="BodyText"/>
      </w:pPr>
      <w:r>
        <w:t xml:space="preserve">Q3 2023 Revenue (€)</w:t>
      </w:r>
    </w:p>
    <w:p>
      <w:pPr>
        <w:pStyle w:val="BodyText"/>
      </w:pPr>
      <w:r>
        <w:t xml:space="preserve">MoM Growth</w:t>
      </w:r>
    </w:p>
    <w:p>
      <w:pPr>
        <w:pStyle w:val="BodyText"/>
      </w:pPr>
      <w:r>
        <w:t xml:space="preserve">Statutory Audit (HGB Compliance)</w:t>
      </w:r>
    </w:p>
    <w:p>
      <w:pPr>
        <w:pStyle w:val="BodyText"/>
      </w:pPr>
      <w:r>
        <w:t xml:space="preserve">185,000</w:t>
      </w:r>
    </w:p>
    <w:p>
      <w:pPr>
        <w:pStyle w:val="BodyText"/>
      </w:pPr>
      <w:r>
        <w:t xml:space="preserve">245,600</w:t>
      </w:r>
    </w:p>
    <w:p>
      <w:pPr>
        <w:pStyle w:val="BodyText"/>
      </w:pPr>
      <w:r>
        <w:t xml:space="preserve">+32.7%</w:t>
      </w:r>
    </w:p>
    <w:p>
      <w:pPr>
        <w:pStyle w:val="BodyText"/>
      </w:pPr>
      <w:r>
        <w:t xml:space="preserve">GDPR Data Privacy Audit</w:t>
      </w:r>
    </w:p>
    <w:p>
      <w:pPr>
        <w:pStyle w:val="BodyText"/>
      </w:pPr>
      <w:r>
        <w:t xml:space="preserve">98,500</w:t>
      </w:r>
    </w:p>
    <w:p>
      <w:pPr>
        <w:pStyle w:val="BodyText"/>
      </w:pPr>
      <w:r>
        <w:t xml:space="preserve">The 32.7% growth in statutory audit sales reflects Berlin’s post-pandemic corporate recovery phase, where businesses prioritize financial transparency. Crucially, our dedicated Auditor team delivered these services with a 98% client satisfaction rate—significantly above the Berlin industry benchmark of 85%. This quality-driven approach has been central to our sales narrative in Germany Berlin, transforming technical expertise into competitive differentiation.</w:t>
      </w:r>
    </w:p>
    <w:bookmarkEnd w:id="22"/>
    <w:bookmarkStart w:id="23" w:name="X1ffbcc6c0cc6fd35928140c4241a48b650d28fc"/>
    <w:p>
      <w:pPr>
        <w:pStyle w:val="Heading2"/>
      </w:pPr>
      <w:r>
        <w:t xml:space="preserve">IV. Client Success Stories: Berlin Market Validation</w:t>
      </w:r>
    </w:p>
    <w:p>
      <w:pPr>
        <w:pStyle w:val="FirstParagraph"/>
      </w:pPr>
      <w:r>
        <w:t xml:space="preserve">Client feedback directly correlates Auditor service excellence with sales growth:</w:t>
      </w:r>
    </w:p>
    <w:p>
      <w:pPr>
        <w:pStyle w:val="BlockText"/>
      </w:pPr>
      <w:r>
        <w:t xml:space="preserve">"Partnering with [Company Name]'s Auditor team allowed us to streamline our HGB compliance ahead of Berlin's regulatory audit window. Their proactive insights saved us €45K in potential fines and accelerated our Series B funding—this is why we renewed for three years."</w:t>
      </w:r>
      <w:r>
        <w:br/>
      </w:r>
      <w:r>
        <w:rPr>
          <w:bCs/>
          <w:b/>
        </w:rPr>
        <w:t xml:space="preserve">— CFO, Berlin-Based FinTech Startup (Q3 2023 Client)</w:t>
      </w:r>
    </w:p>
    <w:p>
      <w:pPr>
        <w:pStyle w:val="BlockText"/>
      </w:pPr>
      <w:r>
        <w:t xml:space="preserve">"In a city where GDPR violations cost businesses €1.2M on average annually, our engagement with your Auditor services reduced our risk exposure by 74%. The sales team understood Berlin's market nuances—we signed the contract within 72 hours of initial consultation."</w:t>
      </w:r>
      <w:r>
        <w:br/>
      </w:r>
      <w:r>
        <w:rPr>
          <w:bCs/>
          <w:b/>
        </w:rPr>
        <w:t xml:space="preserve">— Head of Compliance, Berlin Manufacturing Consortium</w:t>
      </w:r>
    </w:p>
    <w:bookmarkEnd w:id="23"/>
    <w:bookmarkStart w:id="24" w:name="X951f2da80cf034814734561e83235c4b8f4a4bf"/>
    <w:p>
      <w:pPr>
        <w:pStyle w:val="Heading2"/>
      </w:pPr>
      <w:r>
        <w:t xml:space="preserve">V. Strategic Advantages Driving Sales in Germany Berlin</w:t>
      </w:r>
    </w:p>
    <w:p>
      <w:pPr>
        <w:pStyle w:val="FirstParagraph"/>
      </w:pPr>
      <w:r>
        <w:t xml:space="preserve">Our success stems from three pillars uniquely aligned with Berlin’s business culture:</w:t>
      </w:r>
    </w:p>
    <w:p>
      <w:pPr>
        <w:numPr>
          <w:ilvl w:val="0"/>
          <w:numId w:val="1001"/>
        </w:numPr>
        <w:pStyle w:val="Compact"/>
      </w:pPr>
      <w:r>
        <w:rPr>
          <w:bCs/>
          <w:b/>
        </w:rPr>
        <w:t xml:space="preserve">Localized Auditor Expertise:</w:t>
      </w:r>
      <w:r>
        <w:t xml:space="preserve"> </w:t>
      </w:r>
      <w:r>
        <w:t xml:space="preserve">Our Berlin-based auditor team comprises German-qualified professionals fluent in local legal terminology (e.g., "Abschlussprüfung," "Datenverarbeitungsvertrag"), eliminating communication barriers that hinder sales conversions elsewhere in Germany.</w:t>
      </w:r>
    </w:p>
    <w:p>
      <w:pPr>
        <w:numPr>
          <w:ilvl w:val="0"/>
          <w:numId w:val="1001"/>
        </w:numPr>
        <w:pStyle w:val="Compact"/>
      </w:pPr>
      <w:r>
        <w:rPr>
          <w:bCs/>
          <w:b/>
        </w:rPr>
        <w:t xml:space="preserve">Integrated Sales-Auditor Collaboration:</w:t>
      </w:r>
      <w:r>
        <w:t xml:space="preserve"> </w:t>
      </w:r>
      <w:r>
        <w:t xml:space="preserve">Unlike traditional models, our Berlin sales representatives undergo auditor shadowing to speak authentically about technical capabilities. This builds immediate trust during client pitches for auditor services.</w:t>
      </w:r>
    </w:p>
    <w:p>
      <w:pPr>
        <w:numPr>
          <w:ilvl w:val="0"/>
          <w:numId w:val="1001"/>
        </w:numPr>
        <w:pStyle w:val="Compact"/>
      </w:pPr>
      <w:r>
        <w:rPr>
          <w:bCs/>
          <w:b/>
        </w:rPr>
        <w:t xml:space="preserve">Regulatory Anticipation:</w:t>
      </w:r>
      <w:r>
        <w:t xml:space="preserve"> </w:t>
      </w:r>
      <w:r>
        <w:t xml:space="preserve">We proactively track Berlin Senate and BDI (Federation of German Industries) policy shifts. For instance, our recent sales campaign for "AI Governance Audits" capitalized on Berlin’s new AI Act draft, securing 15 pilot clients before the legislation passed.</w:t>
      </w:r>
    </w:p>
    <w:bookmarkEnd w:id="24"/>
    <w:bookmarkStart w:id="25" w:name="X8f9ba1f7ac7cb76ebc3f9d7ed5547922101cf8b"/>
    <w:p>
      <w:pPr>
        <w:pStyle w:val="Heading2"/>
      </w:pPr>
      <w:r>
        <w:t xml:space="preserve">VI. Challenges and Mitigation in Germany Berlin</w:t>
      </w:r>
    </w:p>
    <w:p>
      <w:pPr>
        <w:pStyle w:val="FirstParagraph"/>
      </w:pPr>
      <w:r>
        <w:t xml:space="preserve">While opportunities abound, two challenges required agile sales responses:</w:t>
      </w:r>
    </w:p>
    <w:p>
      <w:pPr>
        <w:numPr>
          <w:ilvl w:val="0"/>
          <w:numId w:val="1002"/>
        </w:numPr>
        <w:pStyle w:val="Compact"/>
      </w:pPr>
      <w:r>
        <w:rPr>
          <w:bCs/>
          <w:b/>
        </w:rPr>
        <w:t xml:space="preserve">Competitive Pressure from Local Firms:</w:t>
      </w:r>
      <w:r>
        <w:t xml:space="preserve"> </w:t>
      </w:r>
      <w:r>
        <w:t xml:space="preserve">Berlin's established audit firms offered lower prices but lacked digital capabilities. Our sales team countered by bundling Auditor services with our cloud analytics platform ("AuditIQ"), demonstrating long-term cost savings—resulting in 3 of 4 competitive deals won in Q3.</w:t>
      </w:r>
    </w:p>
    <w:p>
      <w:pPr>
        <w:numPr>
          <w:ilvl w:val="0"/>
          <w:numId w:val="1002"/>
        </w:numPr>
        <w:pStyle w:val="Compact"/>
      </w:pPr>
      <w:r>
        <w:rPr>
          <w:bCs/>
          <w:b/>
        </w:rPr>
        <w:t xml:space="preserve">Language Barriers for International Clients:</w:t>
      </w:r>
      <w:r>
        <w:t xml:space="preserve"> </w:t>
      </w:r>
      <w:r>
        <w:t xml:space="preserve">Non-German speaking businesses (e.g., US tech firms expanding to Berlin) struggled with German audit terminology. We introduced bilingual sales materials and co-delivered Auditor sessions with German-speaking consultants, increasing international client acquisition by 38%.</w:t>
      </w:r>
    </w:p>
    <w:bookmarkEnd w:id="25"/>
    <w:bookmarkStart w:id="26" w:name="Xb658d76f404a34b8f6c2c4c1718c59425440f7b"/>
    <w:p>
      <w:pPr>
        <w:pStyle w:val="Heading2"/>
      </w:pPr>
      <w:r>
        <w:t xml:space="preserve">VII. Future Sales Strategy for Germany Berlin</w:t>
      </w:r>
    </w:p>
    <w:p>
      <w:pPr>
        <w:pStyle w:val="FirstParagraph"/>
      </w:pPr>
      <w:r>
        <w:t xml:space="preserve">Based on Q3 momentum, we will escalate efforts to deepen Auditor service penetration in Berlin through:</w:t>
      </w:r>
    </w:p>
    <w:p>
      <w:pPr>
        <w:numPr>
          <w:ilvl w:val="0"/>
          <w:numId w:val="1003"/>
        </w:numPr>
        <w:pStyle w:val="Compact"/>
      </w:pPr>
      <w:r>
        <w:rPr>
          <w:bCs/>
          <w:b/>
        </w:rPr>
        <w:t xml:space="preserve">Hyper-Localized Marketing:</w:t>
      </w:r>
      <w:r>
        <w:t xml:space="preserve"> </w:t>
      </w:r>
      <w:r>
        <w:t xml:space="preserve">Partnering with Berlin Chamber of Commerce (IHK) events to host "Regulatory Compliance Workshops," positioning our Auditor team as market educators.</w:t>
      </w:r>
    </w:p>
    <w:p>
      <w:pPr>
        <w:numPr>
          <w:ilvl w:val="0"/>
          <w:numId w:val="1003"/>
        </w:numPr>
        <w:pStyle w:val="Compact"/>
      </w:pPr>
      <w:r>
        <w:rPr>
          <w:bCs/>
          <w:b/>
        </w:rPr>
        <w:t xml:space="preserve">Sales Team Upskilling:</w:t>
      </w:r>
      <w:r>
        <w:t xml:space="preserve"> </w:t>
      </w:r>
      <w:r>
        <w:t xml:space="preserve">Mandatory quarterly auditor certification training for all Berlin-based sales staff to maintain technical credibility during client engagements.</w:t>
      </w:r>
    </w:p>
    <w:p>
      <w:pPr>
        <w:numPr>
          <w:ilvl w:val="0"/>
          <w:numId w:val="1003"/>
        </w:numPr>
        <w:pStyle w:val="Compact"/>
      </w:pPr>
      <w:r>
        <w:rPr>
          <w:bCs/>
          <w:b/>
        </w:rPr>
        <w:t xml:space="preserve">Product Innovation:</w:t>
      </w:r>
      <w:r>
        <w:t xml:space="preserve"> </w:t>
      </w:r>
      <w:r>
        <w:t xml:space="preserve">Launching "Berlin GDPR 2.0" Auditor packages in Q1 2024, addressing new data localization rules from Berlin’s Data Protection Authority (BfDI).</w:t>
      </w:r>
    </w:p>
    <w:bookmarkEnd w:id="26"/>
    <w:bookmarkStart w:id="27" w:name="viii.-conclusion"/>
    <w:p>
      <w:pPr>
        <w:pStyle w:val="Heading2"/>
      </w:pPr>
      <w:r>
        <w:t xml:space="preserve">VIII. Conclusion</w:t>
      </w:r>
    </w:p>
    <w:p>
      <w:pPr>
        <w:pStyle w:val="FirstParagraph"/>
      </w:pPr>
      <w:r>
        <w:t xml:space="preserve">This Sales Report affirms that our Auditor service model is not merely compliant but catalytic for revenue growth in Germany Berlin. The region’s regulatory complexity, innovation-driven economy, and demand for specialized expertise create a self-reinforcing cycle: superior auditor execution → demonstrable client results → accelerated sales velocity. Moving forward, we will continue embedding "Auditor" as the core value driver across all sales initiatives in Berlin—ensuring our growth directly aligns with Germany’s most strategic market. With a 2024 target of €1.8M in Auditor service revenue for Berlin (35% YoY), this strategy positions us to dominate the region’s audit services landscape while setting new standards for client-centric sales reporting.</w:t>
      </w:r>
    </w:p>
    <w:p>
      <w:pPr>
        <w:pStyle w:val="BodyText"/>
      </w:pPr>
      <w:r>
        <w:rPr>
          <w:bCs/>
          <w:b/>
        </w:rPr>
        <w:t xml:space="preserve">Prepared By:</w:t>
      </w:r>
      <w:r>
        <w:t xml:space="preserve"> </w:t>
      </w:r>
      <w:r>
        <w:t xml:space="preserve">Berlin Sales Operations Team, [Company Name]</w:t>
      </w:r>
      <w:r>
        <w:br/>
      </w:r>
      <w:r>
        <w:rPr>
          <w:bCs/>
          <w:b/>
        </w:rPr>
        <w:t xml:space="preserve">Contact:</w:t>
      </w:r>
      <w:r>
        <w:t xml:space="preserve"> </w:t>
      </w:r>
      <w:r>
        <w:t xml:space="preserve">sales.berlin@company.com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Services in Germany Berlin</dc:title>
  <dc:creator/>
  <dc:language>en</dc:language>
  <cp:keywords/>
  <dcterms:created xsi:type="dcterms:W3CDTF">2026-07-19T19:12:38Z</dcterms:created>
  <dcterms:modified xsi:type="dcterms:W3CDTF">2026-07-19T19:12:38Z</dcterms:modified>
</cp:coreProperties>
</file>

<file path=docProps/custom.xml><?xml version="1.0" encoding="utf-8"?>
<Properties xmlns="http://schemas.openxmlformats.org/officeDocument/2006/custom-properties" xmlns:vt="http://schemas.openxmlformats.org/officeDocument/2006/docPropsVTypes"/>
</file>