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96f5cc3024fce98013092ea1c54ed90c79d0da4"/>
    <w:p>
      <w:pPr>
        <w:pStyle w:val="Heading1"/>
      </w:pPr>
      <w:r>
        <w:t xml:space="preserve">Quarterly Sales Report: Strategic Audit Performance Analysis for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audit services within Germany Frankfurt, highlighting exceptional growth in both client acquisition and service delivery. As the financial hub of continental Europe, Frankfurt represents a critical market where our Auditor team has achieved a remarkable 18% year-over-year sales increase. This report underscores how strategic alignment with Frankfurt's regulatory landscape and corporate ecosystem has positioned us as the preferred Audit partner for DAX-listed corporations and international financial institutions operating in Germany Frankfurt. The success documented here validates our commitment to delivering precision-driven audit solutions tailored to the unique demands of this pivotal European business center.</w:t>
      </w:r>
    </w:p>
    <w:bookmarkEnd w:id="20"/>
    <w:bookmarkStart w:id="21" w:name="X92ed900788cbf3f9ffd558a9c641a05025dcbaa"/>
    <w:p>
      <w:pPr>
        <w:pStyle w:val="Heading2"/>
      </w:pPr>
      <w:r>
        <w:t xml:space="preserve">Market Context: Why Germany Frankfurt Matters</w:t>
      </w:r>
    </w:p>
    <w:p>
      <w:pPr>
        <w:pStyle w:val="FirstParagraph"/>
      </w:pPr>
      <w:r>
        <w:t xml:space="preserve">Frankfurt's status as Germany's financial capital and home to the European Central Bank, Deutsche Börse, and over 500 multinational corporations creates an unparalleled opportunity for audit service providers. The city hosts 87% of all German stock exchange listings and serves as the operational nerve center for EU financial regulation compliance. Our Sales Report confirms that Frankfurt-based entities represent 34% of our total German revenue—making it the single most valuable regional market in our portfolio. This underscores why every strategic initiative in this Sales Report prioritizes Germany Frankfurt's complex regulatory environment, including MiFID II compliance, GDPR integration, and EU Taxonomy reporting requirements.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Revenue (€)</w:t>
            </w:r>
          </w:p>
        </w:tc>
        <w:tc>
          <w:tcPr/>
          <w:p>
            <w:pPr>
              <w:pStyle w:val="Compact"/>
              <w:jc w:val="left"/>
            </w:pPr>
            <w:r>
              <w:t xml:space="preserve">YoY Change</w:t>
            </w:r>
          </w:p>
        </w:tc>
        <w:tc>
          <w:tcPr/>
          <w:p>
            <w:pPr>
              <w:pStyle w:val="Compact"/>
              <w:jc w:val="left"/>
            </w:pPr>
            <w:r>
              <w:t xml:space="preserve">Market Share Growth</w:t>
            </w:r>
          </w:p>
        </w:tc>
      </w:tr>
      <w:tr>
        <w:tc>
          <w:tcPr/>
          <w:p>
            <w:pPr>
              <w:pStyle w:val="Compact"/>
              <w:jc w:val="left"/>
            </w:pPr>
            <w:r>
              <w:t xml:space="preserve">Statutory Audits (DAX Companies)</w:t>
            </w:r>
          </w:p>
        </w:tc>
        <w:tc>
          <w:tcPr/>
          <w:p>
            <w:pPr>
              <w:pStyle w:val="Compact"/>
              <w:jc w:val="left"/>
            </w:pPr>
            <w:r>
              <w:t xml:space="preserve">1,850,000</w:t>
            </w:r>
          </w:p>
        </w:tc>
        <w:tc>
          <w:tcPr/>
          <w:p>
            <w:pPr>
              <w:pStyle w:val="Compact"/>
              <w:jc w:val="left"/>
            </w:pPr>
            <w:r>
              <w:t xml:space="preserve">+22%</w:t>
            </w:r>
          </w:p>
        </w:tc>
        <w:tc>
          <w:tcPr/>
          <w:p>
            <w:pPr>
              <w:pStyle w:val="Compact"/>
              <w:jc w:val="left"/>
            </w:pPr>
            <w:r>
              <w:t xml:space="preserve">+4.3%</w:t>
            </w:r>
          </w:p>
        </w:tc>
      </w:tr>
      <w:tr>
        <w:tc>
          <w:tcPr/>
          <w:p>
            <w:pPr>
              <w:pStyle w:val="Compact"/>
              <w:jc w:val="left"/>
            </w:pPr>
            <w:r>
              <w:t xml:space="preserve">ESG &amp; Sustainability Audits</w:t>
            </w:r>
          </w:p>
        </w:tc>
        <w:tc>
          <w:tcPr>
            <w:gridSpan w:val="3"/>
          </w:tcPr>
          <w:p>
            <w:pPr>
              <w:pStyle w:val="Compact"/>
              <w:jc w:val="left"/>
            </w:pPr>
            <w:r>
              <w:t xml:space="preserve">NEW STRATEGIC OFFERING</w:t>
            </w:r>
          </w:p>
        </w:tc>
      </w:tr>
      <w:tr>
        <w:tc>
          <w:tcPr/>
          <w:p>
            <w:pPr>
              <w:pStyle w:val="Compact"/>
              <w:jc w:val="left"/>
            </w:pPr>
            <w:r>
              <w:t xml:space="preserve">  - EU Taxonomy Compliance</w:t>
            </w:r>
          </w:p>
        </w:tc>
        <w:tc>
          <w:tcPr/>
          <w:p>
            <w:pPr>
              <w:pStyle w:val="Compact"/>
              <w:jc w:val="left"/>
            </w:pPr>
            <w:r>
              <w:t xml:space="preserve">680,000</w:t>
            </w:r>
          </w:p>
        </w:tc>
        <w:tc>
          <w:tcPr/>
          <w:p>
            <w:pPr>
              <w:pStyle w:val="Compact"/>
              <w:jc w:val="left"/>
            </w:pPr>
            <w:r>
              <w:t xml:space="preserve">- (Launch Q2)</w:t>
            </w:r>
          </w:p>
        </w:tc>
        <w:tc>
          <w:tcPr/>
          <w:p>
            <w:pPr>
              <w:pStyle w:val="Compact"/>
              <w:jc w:val="left"/>
            </w:pPr>
            <w:r>
              <w:t xml:space="preserve">+1.8% in Frankfurt Market</w:t>
            </w:r>
          </w:p>
        </w:tc>
      </w:tr>
      <w:tr>
        <w:tc>
          <w:tcPr/>
          <w:p>
            <w:pPr>
              <w:pStyle w:val="Compact"/>
              <w:jc w:val="left"/>
            </w:pPr>
            <w:r>
              <w:t xml:space="preserve">Financial Crime Prevention Audits</w:t>
            </w:r>
          </w:p>
        </w:tc>
        <w:tc>
          <w:tcPr>
            <w:gridSpan w:val="3"/>
          </w:tcPr>
          <w:p>
            <w:pPr>
              <w:pStyle w:val="Compact"/>
              <w:jc w:val="left"/>
            </w:pPr>
            <w:r>
              <w:t xml:space="preserve">+47% YoY (Frankfurt Focus)</w:t>
            </w:r>
          </w:p>
        </w:tc>
      </w:tr>
      <w:tr>
        <w:tc>
          <w:tcPr/>
          <w:p>
            <w:pPr>
              <w:pStyle w:val="Compact"/>
              <w:jc w:val="left"/>
            </w:pPr>
            <w:r>
              <w:t xml:space="preserve">Corporate Restructuring Support</w:t>
            </w:r>
          </w:p>
        </w:tc>
        <w:tc>
          <w:tcPr/>
          <w:p>
            <w:pPr>
              <w:pStyle w:val="Compact"/>
              <w:jc w:val="left"/>
            </w:pPr>
            <w:r>
              <w:t xml:space="preserve">420,000</w:t>
            </w:r>
          </w:p>
        </w:tc>
        <w:tc>
          <w:tcPr/>
          <w:p>
            <w:pPr>
              <w:pStyle w:val="Compact"/>
              <w:jc w:val="left"/>
            </w:pPr>
            <w:r>
              <w:t xml:space="preserve">+31%</w:t>
            </w:r>
          </w:p>
        </w:tc>
        <w:tc>
          <w:tcPr/>
          <w:p>
            <w:pPr>
              <w:pStyle w:val="Compact"/>
              <w:jc w:val="left"/>
            </w:pPr>
            <w:r>
              <w:t xml:space="preserve">+2.1%</w:t>
            </w:r>
          </w:p>
        </w:tc>
      </w:tr>
      <w:tr>
        <w:tc>
          <w:tcPr/>
          <w:p>
            <w:pPr>
              <w:pStyle w:val="Compact"/>
              <w:jc w:val="left"/>
            </w:pPr>
            <w:r>
              <w:t xml:space="preserve">Total Frankfurt Revenue</w:t>
            </w:r>
          </w:p>
        </w:tc>
        <w:tc>
          <w:tcPr/>
          <w:p>
            <w:pPr>
              <w:pStyle w:val="Compact"/>
              <w:jc w:val="left"/>
            </w:pPr>
            <w:r>
              <w:t xml:space="preserve">€3,585,000</w:t>
            </w:r>
          </w:p>
        </w:tc>
        <w:tc>
          <w:tcPr/>
          <w:p>
            <w:pPr>
              <w:pStyle w:val="Compact"/>
              <w:jc w:val="left"/>
            </w:pPr>
            <w:r>
              <w:t xml:space="preserve">+18% YoY</w:t>
            </w:r>
          </w:p>
        </w:tc>
        <w:tc>
          <w:tcPr/>
          <w:p>
            <w:pPr>
              <w:pStyle w:val="Compact"/>
              <w:jc w:val="left"/>
            </w:pPr>
            <w:r>
              <w:t xml:space="preserve">+6.2% Market Share</w:t>
            </w:r>
          </w:p>
        </w:tc>
      </w:tr>
    </w:tbl>
    <w:p>
      <w:pPr>
        <w:pStyle w:val="BodyText"/>
      </w:pPr>
      <w:r>
        <w:t xml:space="preserve">Notable achievement: Secured three major new engagements with Frankfurt-headquartered financial institutions, including a €1.2M multi-year statutory audit contract with a top-5 German bank and an ESG compliance project for a DAX 40 energy conglomerate operating from the Frankfurt financial district. These wins directly contributed to our sales growth trajectory outlined in this Sales Report.</w:t>
      </w:r>
    </w:p>
    <w:bookmarkEnd w:id="22"/>
    <w:bookmarkStart w:id="23" w:name="X15077869a0e8413c93f4de3d1c01519b3bc9cd3"/>
    <w:p>
      <w:pPr>
        <w:pStyle w:val="Heading2"/>
      </w:pPr>
      <w:r>
        <w:t xml:space="preserve">Key Client Success Stories: Germany Frankfurt Impact</w:t>
      </w:r>
    </w:p>
    <w:p>
      <w:pPr>
        <w:pStyle w:val="FirstParagraph"/>
      </w:pPr>
      <w:r>
        <w:rPr>
          <w:bCs/>
          <w:b/>
        </w:rPr>
        <w:t xml:space="preserve">Case Study 1: Continental Automotive (Frankfurt HQ)</w:t>
      </w:r>
      <w:r>
        <w:br/>
      </w:r>
      <w:r>
        <w:t xml:space="preserve">Our Auditor team delivered a seamless transition from traditional audit protocols to AI-assisted risk assessment, reducing reporting timelines by 37%. This innovation directly addressed Frankfurt's demand for speed in regulatory submissions under the new EU Digital Operational Resilience Act (DORA). The resulting client satisfaction score of 9.8/10 positioned us as their exclusive Auditor partner for all EMEA operations.</w:t>
      </w:r>
    </w:p>
    <w:p>
      <w:pPr>
        <w:pStyle w:val="BodyText"/>
      </w:pPr>
      <w:r>
        <w:rPr>
          <w:bCs/>
          <w:b/>
        </w:rPr>
        <w:t xml:space="preserve">Case Study 2: Deutsche Börse Group</w:t>
      </w:r>
      <w:r>
        <w:br/>
      </w:r>
      <w:r>
        <w:t xml:space="preserve">We executed a complex dual-reporting audit covering both German Securities Trading Act (WpHG) and MiFID II requirements. This project, completed ahead of schedule in Frankfurt's congested fiscal quarter, demonstrated our deep understanding of local compliance nuances. The success has generated three new referrals from other exchange-listed entities within Germany Frankfurt.</w:t>
      </w:r>
    </w:p>
    <w:bookmarkEnd w:id="23"/>
    <w:bookmarkStart w:id="24" w:name="X5bea46b734f0d463bf8e6791ce7253b3732dd5d"/>
    <w:p>
      <w:pPr>
        <w:pStyle w:val="Heading2"/>
      </w:pPr>
      <w:r>
        <w:t xml:space="preserve">Strategic Initiatives Driving Sales Growth</w:t>
      </w:r>
    </w:p>
    <w:p>
      <w:pPr>
        <w:pStyle w:val="FirstParagraph"/>
      </w:pPr>
      <w:r>
        <w:t xml:space="preserve">This Sales Report emphasizes how our Frankfurt-specific strategies have fueled growth:</w:t>
      </w:r>
    </w:p>
    <w:p>
      <w:pPr>
        <w:numPr>
          <w:ilvl w:val="0"/>
          <w:numId w:val="1001"/>
        </w:numPr>
        <w:pStyle w:val="Compact"/>
      </w:pPr>
      <w:r>
        <w:rPr>
          <w:bCs/>
          <w:b/>
        </w:rPr>
        <w:t xml:space="preserve">Regulatory Intelligence Hub:</w:t>
      </w:r>
      <w:r>
        <w:t xml:space="preserve"> </w:t>
      </w:r>
      <w:r>
        <w:t xml:space="preserve">Established a dedicated Germany Frankfurt compliance unit tracking 147+ local regulatory updates quarterly, enabling proactive audit adjustments that reduced client non-compliance risks by 63%.</w:t>
      </w:r>
    </w:p>
    <w:p>
      <w:pPr>
        <w:numPr>
          <w:ilvl w:val="0"/>
          <w:numId w:val="1001"/>
        </w:numPr>
        <w:pStyle w:val="Compact"/>
      </w:pPr>
      <w:r>
        <w:rPr>
          <w:bCs/>
          <w:b/>
        </w:rPr>
        <w:t xml:space="preserve">Frankfurt Client Advisory Council:</w:t>
      </w:r>
      <w:r>
        <w:t xml:space="preserve"> </w:t>
      </w:r>
      <w:r>
        <w:t xml:space="preserve">Quarterly roundtables with top financial institutions in the city (including Commerzbank and DZ Bank) directly influenced our service design, leading to a 41% increase in upsell opportunities this quarter.</w:t>
      </w:r>
    </w:p>
    <w:p>
      <w:pPr>
        <w:numPr>
          <w:ilvl w:val="0"/>
          <w:numId w:val="1001"/>
        </w:numPr>
        <w:pStyle w:val="Compact"/>
      </w:pPr>
      <w:r>
        <w:rPr>
          <w:bCs/>
          <w:b/>
        </w:rPr>
        <w:t xml:space="preserve">Talent Localization:</w:t>
      </w:r>
      <w:r>
        <w:t xml:space="preserve"> </w:t>
      </w:r>
      <w:r>
        <w:t xml:space="preserve">Hired 7 new senior auditors fluent in German business law and Frankfurt market dynamics—reducing communication friction by 52% according to client feedback.</w:t>
      </w:r>
    </w:p>
    <w:bookmarkEnd w:id="24"/>
    <w:bookmarkStart w:id="25" w:name="market-challenges-mitigation-strategies"/>
    <w:p>
      <w:pPr>
        <w:pStyle w:val="Heading2"/>
      </w:pPr>
      <w:r>
        <w:t xml:space="preserve">Market Challenges &amp; Mitigation Strategies</w:t>
      </w:r>
    </w:p>
    <w:p>
      <w:pPr>
        <w:pStyle w:val="FirstParagraph"/>
      </w:pPr>
      <w:r>
        <w:t xml:space="preserve">The Germany Frankfurt audit market presents unique challenges, including stringent data sovereignty requirements under the new German Data Protection Act (BDSG) and increased ESG scrutiny from BaFin. Our Sales Report details how our Auditor team overcame these through:</w:t>
      </w:r>
    </w:p>
    <w:p>
      <w:pPr>
        <w:numPr>
          <w:ilvl w:val="0"/>
          <w:numId w:val="1002"/>
        </w:numPr>
        <w:pStyle w:val="Compact"/>
      </w:pPr>
      <w:r>
        <w:t xml:space="preserve">Developing a GDPR-compliant cloud audit platform exclusively for Frankfurt clients</w:t>
      </w:r>
    </w:p>
    <w:p>
      <w:pPr>
        <w:numPr>
          <w:ilvl w:val="0"/>
          <w:numId w:val="1002"/>
        </w:numPr>
        <w:pStyle w:val="Compact"/>
      </w:pPr>
      <w:r>
        <w:t xml:space="preserve">Creating industry-specific ESG audit frameworks aligned with the EU Corporate Sustainability Reporting Directive (CSRD)</w:t>
      </w:r>
    </w:p>
    <w:p>
      <w:pPr>
        <w:numPr>
          <w:ilvl w:val="0"/>
          <w:numId w:val="1002"/>
        </w:numPr>
        <w:pStyle w:val="Compact"/>
      </w:pPr>
      <w:r>
        <w:t xml:space="preserve">Prioritizing in-person client meetings at Frankfurt offices to build trust amid digital transformation pressures</w:t>
      </w:r>
    </w:p>
    <w:bookmarkEnd w:id="25"/>
    <w:bookmarkStart w:id="26" w:name="Xd00d3d72bda34eb0f71d3daeef8269bc880f1c3"/>
    <w:p>
      <w:pPr>
        <w:pStyle w:val="Heading2"/>
      </w:pPr>
      <w:r>
        <w:t xml:space="preserve">Forward-Looking Strategies for Germany Frankfurt</w:t>
      </w:r>
    </w:p>
    <w:p>
      <w:pPr>
        <w:pStyle w:val="FirstParagraph"/>
      </w:pPr>
      <w:r>
        <w:t xml:space="preserve">This Sales Report concludes with our roadmap for Q4 2023, where we will:</w:t>
      </w:r>
    </w:p>
    <w:p>
      <w:pPr>
        <w:numPr>
          <w:ilvl w:val="0"/>
          <w:numId w:val="1003"/>
        </w:numPr>
        <w:pStyle w:val="Compact"/>
      </w:pPr>
      <w:r>
        <w:t xml:space="preserve">Expand ESG audit services to target 50% market penetration among Frankfurt's DAX 30 firms</w:t>
      </w:r>
    </w:p>
    <w:p>
      <w:pPr>
        <w:numPr>
          <w:ilvl w:val="0"/>
          <w:numId w:val="1003"/>
        </w:numPr>
        <w:pStyle w:val="Compact"/>
      </w:pPr>
      <w:r>
        <w:t xml:space="preserve">Launch a Frankfurt-specific "Audit Innovation Lab" co-developed with Goethe University Frankfurt</w:t>
      </w:r>
    </w:p>
    <w:p>
      <w:pPr>
        <w:numPr>
          <w:ilvl w:val="0"/>
          <w:numId w:val="1003"/>
        </w:numPr>
        <w:pStyle w:val="Compact"/>
      </w:pPr>
      <w:r>
        <w:t xml:space="preserve">Target acquisition of a regional German audit firm with strong presence in the Rhine-Main area to strengthen our local footprint</w:t>
      </w:r>
    </w:p>
    <w:bookmarkEnd w:id="26"/>
    <w:bookmarkStart w:id="27" w:name="X5c8f58f7d1270c2f86f5d095dbb9223bc7afeef"/>
    <w:p>
      <w:pPr>
        <w:pStyle w:val="Heading2"/>
      </w:pPr>
      <w:r>
        <w:t xml:space="preserve">Conclusion: The Future of Audit Excellence in Germany Frankfurt</w:t>
      </w:r>
    </w:p>
    <w:p>
      <w:pPr>
        <w:pStyle w:val="FirstParagraph"/>
      </w:pPr>
      <w:r>
        <w:t xml:space="preserve">The Q3 2023 Sales Report confirms that our strategic focus on Germany Frankfurt has yielded transformative results. By embedding deep market intelligence into every audit engagement and building relationships with the city's financial ecosystem, we've elevated our Auditor service from transactional to transformational. The data is unequivocal: Frankfurt's unique position as Europe's financial nexus demands specialized audit expertise, and our team has become synonymous with delivering it.</w:t>
      </w:r>
    </w:p>
    <w:p>
      <w:pPr>
        <w:pStyle w:val="BodyText"/>
      </w:pPr>
      <w:r>
        <w:t xml:space="preserve">As we move into Q4, this Sales Report serves as both a performance testament and a strategic blueprint. We are not merely reporting sales figures—we are documenting how our Auditor team has redefined value creation in Germany Frankfurt's competitive audit landscape. The consistent growth trajectory documented here proves that when audit excellence aligns with regional market intelligence, sustainable revenue growth becomes the natural outcome.</w:t>
      </w:r>
    </w:p>
    <w:p>
      <w:pPr>
        <w:pStyle w:val="BodyText"/>
      </w:pPr>
      <w:r>
        <w:rPr>
          <w:bCs/>
          <w:b/>
        </w:rPr>
        <w:t xml:space="preserve">Prepared by:</w:t>
      </w:r>
      <w:r>
        <w:t xml:space="preserve"> </w:t>
      </w:r>
      <w:r>
        <w:t xml:space="preserve">Global Audit Strategy Group</w:t>
      </w:r>
      <w:r>
        <w:br/>
      </w:r>
      <w:r>
        <w:rPr>
          <w:bCs/>
          <w:b/>
        </w:rPr>
        <w:t xml:space="preserve">For:</w:t>
      </w:r>
      <w:r>
        <w:t xml:space="preserve"> </w:t>
      </w:r>
      <w:r>
        <w:t xml:space="preserve">All Stakeholders of Our Frankfurt-Based Audit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 Excellence in Germany Frankfurt</dc:title>
  <dc:creator/>
  <dc:language>en</dc:language>
  <cp:keywords/>
  <dcterms:created xsi:type="dcterms:W3CDTF">2026-07-21T06:43:50Z</dcterms:created>
  <dcterms:modified xsi:type="dcterms:W3CDTF">2026-07-21T06:43:50Z</dcterms:modified>
</cp:coreProperties>
</file>

<file path=docProps/custom.xml><?xml version="1.0" encoding="utf-8"?>
<Properties xmlns="http://schemas.openxmlformats.org/officeDocument/2006/custom-properties" xmlns:vt="http://schemas.openxmlformats.org/officeDocument/2006/docPropsVTypes"/>
</file>