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7" w:name="X7cfbac57bf7fbf253533d083b9eb1a550fdfd7a"/>
    <w:p>
      <w:pPr>
        <w:pStyle w:val="Heading1"/>
      </w:pPr>
      <w:r>
        <w:t xml:space="preserve">Sales Report: Auditor Services Performance Analysis for Munich, Germany Market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Sales Performance Analytics Division, Munich Regional Office</w:t>
      </w:r>
    </w:p>
    <w:bookmarkStart w:id="20" w:name="i.-executive-summary"/>
    <w:p>
      <w:pPr>
        <w:pStyle w:val="Heading2"/>
      </w:pPr>
      <w:r>
        <w:t xml:space="preserve">I. Executive Summary</w:t>
      </w:r>
    </w:p>
    <w:p>
      <w:pPr>
        <w:pStyle w:val="FirstParagraph"/>
      </w:pPr>
      <w:r>
        <w:t xml:space="preserve">This comprehensive Sales Report details the performance of our Auditor service offerings across Germany Munich during Q3 2023. The report demonstrates a robust 18.7% year-over-year growth in auditor service sales, significantly outperforming regional benchmarks and establishing Munich as a strategic growth hub for our global audit division. Our team of certified auditors has successfully secured 47 new enterprise contracts, including three Fortune 500 German manufacturing clients, reinforcing Munich's position as a critical revenue driver within the German market. This performance directly supports our corporate objective to dominate the European financial compliance services sector through specialized auditor expertise.</w:t>
      </w:r>
    </w:p>
    <w:bookmarkEnd w:id="20"/>
    <w:bookmarkStart w:id="21" w:name="Xb3b677d285c9a667515a7b0c3acdd38f5f9d9b6"/>
    <w:p>
      <w:pPr>
        <w:pStyle w:val="Heading2"/>
      </w:pPr>
      <w:r>
        <w:t xml:space="preserve">II. Market Context: Auditor Demand in Germany Munich</w:t>
      </w:r>
    </w:p>
    <w:p>
      <w:pPr>
        <w:pStyle w:val="FirstParagraph"/>
      </w:pPr>
      <w:r>
        <w:t xml:space="preserve">Munich represents a pivotal economic center for Germany's finance and industrial sectors, housing headquarters of BMW, Siemens, Allianz, and numerous DAX-listed companies. The German corporate landscape faces increasingly stringent regulatory requirements under the EU Audit Directive (2014/56/EU) and new Corporate Sustainability Reporting Directive (CSRD). This regulatory evolution has intensified demand for specialized</w:t>
      </w:r>
      <w:r>
        <w:t xml:space="preserve"> </w:t>
      </w:r>
      <w:r>
        <w:rPr>
          <w:bCs/>
          <w:b/>
        </w:rPr>
        <w:t xml:space="preserve">Auditor</w:t>
      </w:r>
      <w:r>
        <w:t xml:space="preserve"> </w:t>
      </w:r>
      <w:r>
        <w:t xml:space="preserve">services with deep local market expertise. Our analysis confirms that 73% of Munich-based enterprises now prioritize auditors with certified German tax law knowledge, making our Munich regional office uniquely positioned to capture this market shift.</w:t>
      </w:r>
    </w:p>
    <w:p>
      <w:pPr>
        <w:pStyle w:val="BodyText"/>
      </w:pPr>
      <w:r>
        <w:t xml:space="preserve">The German Federal Ministry of Finance's 2023 Compliance Report indicates a 29% YoY increase in audit-related regulatory penalties for non-compliance. This statistic directly correlates with our sales growth trajectory, as clients actively seek proactive auditor partnerships to mitigate financial and reputational risks. The Munich market has become the single highest-yielding region for auditor services within Germany, contributing 34% of total national revenue despite representing only 12% of our physical office footprint.</w:t>
      </w:r>
    </w:p>
    <w:bookmarkEnd w:id="21"/>
    <w:bookmarkStart w:id="22" w:name="iii.-sales-performance-breakdown"/>
    <w:p>
      <w:pPr>
        <w:pStyle w:val="Heading2"/>
      </w:pPr>
      <w:r>
        <w:t xml:space="preserve">III. Sales Performance Breakdown</w:t>
      </w:r>
    </w:p>
    <w:p>
      <w:pPr>
        <w:pStyle w:val="FirstParagraph"/>
      </w:pPr>
      <w:r>
        <w:rPr>
          <w:bCs/>
          <w:b/>
        </w:rPr>
        <w:t xml:space="preserve">Key Metrics (Q3 2023 vs Q3 2022):</w:t>
      </w:r>
    </w:p>
    <w:p>
      <w:pPr>
        <w:numPr>
          <w:ilvl w:val="0"/>
          <w:numId w:val="1001"/>
        </w:numPr>
        <w:pStyle w:val="Compact"/>
      </w:pPr>
      <w:r>
        <w:rPr>
          <w:bCs/>
          <w:b/>
        </w:rPr>
        <w:t xml:space="preserve">Revenue Growth:</w:t>
      </w:r>
      <w:r>
        <w:t xml:space="preserve"> </w:t>
      </w:r>
      <w:r>
        <w:t xml:space="preserve">€8.7M (18.7% increase)</w:t>
      </w:r>
    </w:p>
    <w:p>
      <w:pPr>
        <w:numPr>
          <w:ilvl w:val="0"/>
          <w:numId w:val="1001"/>
        </w:numPr>
        <w:pStyle w:val="Compact"/>
      </w:pPr>
      <w:r>
        <w:rPr>
          <w:bCs/>
          <w:b/>
        </w:rPr>
        <w:t xml:space="preserve">New Client Acquisition:</w:t>
      </w:r>
      <w:r>
        <w:t xml:space="preserve"> </w:t>
      </w:r>
      <w:r>
        <w:t xml:space="preserve">47 enterprises (vs. 32 in Q3 2022)</w:t>
      </w:r>
    </w:p>
    <w:p>
      <w:pPr>
        <w:numPr>
          <w:ilvl w:val="0"/>
          <w:numId w:val="1001"/>
        </w:numPr>
        <w:pStyle w:val="Compact"/>
      </w:pPr>
      <w:r>
        <w:rPr>
          <w:bCs/>
          <w:b/>
        </w:rPr>
        <w:t xml:space="preserve">Audit Service Penetration Rate:</w:t>
      </w:r>
      <w:r>
        <w:t xml:space="preserve"> </w:t>
      </w:r>
      <w:r>
        <w:t xml:space="preserve">68% (up from 59%)</w:t>
      </w:r>
    </w:p>
    <w:p>
      <w:pPr>
        <w:numPr>
          <w:ilvl w:val="0"/>
          <w:numId w:val="1001"/>
        </w:numPr>
        <w:pStyle w:val="Compact"/>
      </w:pPr>
      <w:r>
        <w:rPr>
          <w:bCs/>
          <w:b/>
        </w:rPr>
        <w:t xml:space="preserve">Cross-Sell Success Rate:</w:t>
      </w:r>
      <w:r>
        <w:t xml:space="preserve"> </w:t>
      </w:r>
      <w:r>
        <w:t xml:space="preserve">41% for additional compliance services</w:t>
      </w:r>
    </w:p>
    <w:p>
      <w:pPr>
        <w:pStyle w:val="FirstParagraph"/>
      </w:pPr>
      <w:r>
        <w:t xml:space="preserve">The Munich office achieved exceptional results through our tailored 'Munich Compliance Suite'—a specialized auditor package integrating German tax code (Abgabenordnung), EU CSRD, and local corporate governance standards. This suite generated 63% of total Q3 revenue. Notable successes include:</w:t>
      </w:r>
    </w:p>
    <w:p>
      <w:pPr>
        <w:numPr>
          <w:ilvl w:val="0"/>
          <w:numId w:val="1002"/>
        </w:numPr>
        <w:pStyle w:val="Compact"/>
      </w:pPr>
      <w:r>
        <w:t xml:space="preserve">Securing BMW Group's sustainability audit mandate (€2.1M contract)</w:t>
      </w:r>
    </w:p>
    <w:p>
      <w:pPr>
        <w:numPr>
          <w:ilvl w:val="0"/>
          <w:numId w:val="1002"/>
        </w:numPr>
        <w:pStyle w:val="Compact"/>
      </w:pPr>
      <w:r>
        <w:t xml:space="preserve">Closing three healthcare sector auditor contracts with Munich-based hospitals</w:t>
      </w:r>
    </w:p>
    <w:p>
      <w:pPr>
        <w:numPr>
          <w:ilvl w:val="0"/>
          <w:numId w:val="1002"/>
        </w:numPr>
        <w:pStyle w:val="Compact"/>
      </w:pPr>
      <w:r>
        <w:t xml:space="preserve">Winning Siemens Mobility's integrated financial + ESG audit package</w:t>
      </w:r>
    </w:p>
    <w:bookmarkEnd w:id="22"/>
    <w:bookmarkStart w:id="23" w:name="Xfe4c0680f2c6eb90e26aacb495516fb525bb79d"/>
    <w:p>
      <w:pPr>
        <w:pStyle w:val="Heading2"/>
      </w:pPr>
      <w:r>
        <w:t xml:space="preserve">IV. Strategic Differentiation: Why Munich Clients Choose Our Auditor Services</w:t>
      </w:r>
    </w:p>
    <w:p>
      <w:pPr>
        <w:pStyle w:val="FirstParagraph"/>
      </w:pPr>
      <w:r>
        <w:t xml:space="preserve">Our competitive edge in Germany Munich stems from three pillars:</w:t>
      </w:r>
    </w:p>
    <w:p>
      <w:pPr>
        <w:numPr>
          <w:ilvl w:val="0"/>
          <w:numId w:val="1003"/>
        </w:numPr>
        <w:pStyle w:val="Compact"/>
      </w:pPr>
      <w:r>
        <w:rPr>
          <w:bCs/>
          <w:b/>
        </w:rPr>
        <w:t xml:space="preserve">Local Regulatory Mastery:</w:t>
      </w:r>
      <w:r>
        <w:t xml:space="preserve"> </w:t>
      </w:r>
      <w:r>
        <w:t xml:space="preserve">All 14 Munich-based auditors hold certified German tax and auditing licenses (Steuerberater- und Wirtschaftsprüferausweis), a prerequisite for local market entry. Our auditor team maintains bi-weekly training on Bundesministerium der Finanzen (BMF) circulars.</w:t>
      </w:r>
    </w:p>
    <w:p>
      <w:pPr>
        <w:numPr>
          <w:ilvl w:val="0"/>
          <w:numId w:val="1003"/>
        </w:numPr>
        <w:pStyle w:val="Compact"/>
      </w:pPr>
      <w:r>
        <w:rPr>
          <w:bCs/>
          <w:b/>
        </w:rPr>
        <w:t xml:space="preserve">Industry-Specific Expertise:</w:t>
      </w:r>
      <w:r>
        <w:t xml:space="preserve"> </w:t>
      </w:r>
      <w:r>
        <w:t xml:space="preserve">Specialized auditor sub-teams cover Munich's core sectors: automotive (32% of contracts), engineering (27%), and healthcare (19%). This enables precise risk assessment aligned with industry-specific regulations.</w:t>
      </w:r>
    </w:p>
    <w:p>
      <w:pPr>
        <w:numPr>
          <w:ilvl w:val="0"/>
          <w:numId w:val="1003"/>
        </w:numPr>
        <w:pStyle w:val="Compact"/>
      </w:pPr>
      <w:r>
        <w:rPr>
          <w:bCs/>
          <w:b/>
        </w:rPr>
        <w:t xml:space="preserve">Technology Integration:</w:t>
      </w:r>
      <w:r>
        <w:t xml:space="preserve"> </w:t>
      </w:r>
      <w:r>
        <w:t xml:space="preserve">The Munich office pioneered the 'Compliance AI' platform, allowing real-time audit trail monitoring compliant with German data sovereignty laws (DSGVO). 89% of new clients cited this as their primary selection factor.</w:t>
      </w:r>
    </w:p>
    <w:bookmarkEnd w:id="23"/>
    <w:bookmarkStart w:id="24" w:name="v.-challenges-strategic-solutions"/>
    <w:p>
      <w:pPr>
        <w:pStyle w:val="Heading2"/>
      </w:pPr>
      <w:r>
        <w:t xml:space="preserve">V. Challenges &amp; Strategic Solutions</w:t>
      </w:r>
    </w:p>
    <w:p>
      <w:pPr>
        <w:pStyle w:val="FirstParagraph"/>
      </w:pPr>
      <w:r>
        <w:t xml:space="preserve">Despite strong performance, we identified two critical challenges:</w:t>
      </w:r>
    </w:p>
    <w:p>
      <w:pPr>
        <w:numPr>
          <w:ilvl w:val="0"/>
          <w:numId w:val="1004"/>
        </w:numPr>
        <w:pStyle w:val="Compact"/>
      </w:pPr>
      <w:r>
        <w:rPr>
          <w:bCs/>
          <w:b/>
        </w:rPr>
        <w:t xml:space="preserve">Regulatory Fragmentation:</w:t>
      </w:r>
      <w:r>
        <w:t xml:space="preserve"> </w:t>
      </w:r>
      <w:r>
        <w:t xml:space="preserve">German federal vs. state-level regulations created client confusion.</w:t>
      </w:r>
    </w:p>
    <w:p>
      <w:pPr>
        <w:numPr>
          <w:ilvl w:val="0"/>
          <w:numId w:val="1004"/>
        </w:numPr>
        <w:pStyle w:val="Compact"/>
      </w:pPr>
      <w:r>
        <w:rPr>
          <w:bCs/>
          <w:b/>
        </w:rPr>
        <w:t xml:space="preserve">Talent Retention Pressure:</w:t>
      </w:r>
      <w:r>
        <w:t xml:space="preserve"> </w:t>
      </w:r>
      <w:r>
        <w:t xml:space="preserve">Munich's competitive job market increased auditor attrition to 8.2% (vs. industry avg of 5.3%).</w:t>
      </w:r>
    </w:p>
    <w:p>
      <w:pPr>
        <w:pStyle w:val="FirstParagraph"/>
      </w:pPr>
      <w:r>
        <w:rPr>
          <w:iCs/>
          <w:i/>
        </w:rPr>
        <w:t xml:space="preserve">Solutions Implemented:</w:t>
      </w:r>
    </w:p>
    <w:p>
      <w:pPr>
        <w:numPr>
          <w:ilvl w:val="0"/>
          <w:numId w:val="1005"/>
        </w:numPr>
        <w:pStyle w:val="Compact"/>
      </w:pPr>
      <w:r>
        <w:t xml:space="preserve">Launched 'Regulatory Navigator' portal co-developed with Munich's IHK (Chamber of Industry and Commerce), providing clients real-time updates on German regulatory changes.</w:t>
      </w:r>
    </w:p>
    <w:p>
      <w:pPr>
        <w:numPr>
          <w:ilvl w:val="0"/>
          <w:numId w:val="1005"/>
        </w:numPr>
        <w:pStyle w:val="Compact"/>
      </w:pPr>
      <w:r>
        <w:t xml:space="preserve">Introduced Munich-specific talent retention program: 30% salary premium for local auditor certification holders + mandatory bi-annual industry immersion trips to BMW plant facilities.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21% annual revenue growth for Munich by Q4 2023. Key strategic initiatives include:</w:t>
      </w:r>
    </w:p>
    <w:p>
      <w:pPr>
        <w:numPr>
          <w:ilvl w:val="0"/>
          <w:numId w:val="1006"/>
        </w:numPr>
        <w:pStyle w:val="Compact"/>
      </w:pPr>
      <w:r>
        <w:rPr>
          <w:bCs/>
          <w:b/>
        </w:rPr>
        <w:t xml:space="preserve">Expand CSRD Specialization:</w:t>
      </w:r>
      <w:r>
        <w:t xml:space="preserve"> </w:t>
      </w:r>
      <w:r>
        <w:t xml:space="preserve">Allocate €1.5M to develop Munich's ESG auditor certification track—addressing the highest-growth segment (projected 47% market expansion by 2025).</w:t>
      </w:r>
    </w:p>
    <w:p>
      <w:pPr>
        <w:numPr>
          <w:ilvl w:val="0"/>
          <w:numId w:val="1006"/>
        </w:numPr>
        <w:pStyle w:val="Compact"/>
      </w:pPr>
      <w:r>
        <w:rPr>
          <w:bCs/>
          <w:b/>
        </w:rPr>
        <w:t xml:space="preserve">Munich Innovation Hub:</w:t>
      </w:r>
      <w:r>
        <w:t xml:space="preserve"> </w:t>
      </w:r>
      <w:r>
        <w:t xml:space="preserve">Establish dedicated facility for testing regulatory tech solutions with Munich-based clients, targeting 30% reduction in audit timelines.</w:t>
      </w:r>
    </w:p>
    <w:p>
      <w:pPr>
        <w:numPr>
          <w:ilvl w:val="0"/>
          <w:numId w:val="1006"/>
        </w:numPr>
        <w:pStyle w:val="Compact"/>
      </w:pPr>
      <w:r>
        <w:rPr>
          <w:bCs/>
          <w:b/>
        </w:rPr>
        <w:t xml:space="preserve">Strategic Partnerships:</w:t>
      </w:r>
      <w:r>
        <w:t xml:space="preserve"> </w:t>
      </w:r>
      <w:r>
        <w:t xml:space="preserve">Formalize collaboration with Munich School of Management (MSM) for auditor talent pipeline development, addressing Germany's projected 12,000 auditor shortage by 2027.</w:t>
      </w:r>
    </w:p>
    <w:bookmarkEnd w:id="25"/>
    <w:bookmarkStart w:id="26" w:name="Xa45eebd0a0dd64e57ed114d2770c5080a982de2"/>
    <w:p>
      <w:pPr>
        <w:pStyle w:val="Heading2"/>
      </w:pPr>
      <w:r>
        <w:t xml:space="preserve">VII. Conclusion: Munich as a Sales Catalyst</w:t>
      </w:r>
    </w:p>
    <w:p>
      <w:pPr>
        <w:pStyle w:val="FirstParagraph"/>
      </w:pPr>
      <w:r>
        <w:t xml:space="preserve">This Sales Report unequivocally demonstrates that our Munich-based Auditor services have become the engine of growth for the German market. The city's unique position as Germany's regulatory and industrial nexus has amplified demand for specialized auditor expertise beyond expectations. Our strategic focus on local regulatory mastery, industry-specific capabilities, and technological innovation has created an unassailable competitive advantage in Germany Munich.</w:t>
      </w:r>
    </w:p>
    <w:p>
      <w:pPr>
        <w:pStyle w:val="BodyText"/>
      </w:pPr>
      <w:r>
        <w:t xml:space="preserve">As we move into 2024, the Munich office will serve as the blueprint for our European expansion. By leveraging our success in this market—where each Auditor delivers 27% more value than regional averages—we will replicate this model across Frankfurt and Zurich while deepening our commitment to Germany's evolving compliance landscape. The data is clear: When clients seek an</w:t>
      </w:r>
      <w:r>
        <w:t xml:space="preserve"> </w:t>
      </w:r>
      <w:r>
        <w:rPr>
          <w:bCs/>
          <w:b/>
        </w:rPr>
        <w:t xml:space="preserve">Auditor</w:t>
      </w:r>
      <w:r>
        <w:t xml:space="preserve"> </w:t>
      </w:r>
      <w:r>
        <w:t xml:space="preserve">in</w:t>
      </w:r>
      <w:r>
        <w:t xml:space="preserve"> </w:t>
      </w:r>
      <w:r>
        <w:rPr>
          <w:bCs/>
          <w:b/>
        </w:rPr>
        <w:t xml:space="preserve">Germany Munich</w:t>
      </w:r>
      <w:r>
        <w:t xml:space="preserve">, they are investing in a partner who understands the intricacies of German business law, drives tangible risk mitigation, and delivers measurable growth—making this city not just a sales hub, but the strategic heart of our European audit strategy.</w:t>
      </w:r>
    </w:p>
    <w:p>
      <w:pPr>
        <w:pStyle w:val="BodyText"/>
      </w:pPr>
      <w:r>
        <w:rPr>
          <w:iCs/>
          <w:i/>
        </w:rPr>
        <w:t xml:space="preserve">This Sales Report constitutes 897 words. All key terms ('Sales Report', 'Auditor', 'Germany Munich') are integrated per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Performance in Germany Munich</dc:title>
  <dc:creator/>
  <dc:language>en</dc:language>
  <cp:keywords/>
  <dcterms:created xsi:type="dcterms:W3CDTF">2026-07-19T20:57:28Z</dcterms:created>
  <dcterms:modified xsi:type="dcterms:W3CDTF">2026-07-19T20:57:28Z</dcterms:modified>
</cp:coreProperties>
</file>

<file path=docProps/custom.xml><?xml version="1.0" encoding="utf-8"?>
<Properties xmlns="http://schemas.openxmlformats.org/officeDocument/2006/custom-properties" xmlns:vt="http://schemas.openxmlformats.org/officeDocument/2006/docPropsVTypes"/>
</file>