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&amp;</w:t>
      </w:r>
      <w:r>
        <w:t xml:space="preserve"> </w:t>
      </w:r>
      <w:r>
        <w:t xml:space="preserve">Auditor</w:t>
      </w:r>
      <w:r>
        <w:t xml:space="preserve"> </w:t>
      </w:r>
      <w:r>
        <w:t xml:space="preserve">Compliance</w:t>
      </w:r>
      <w:r>
        <w:t xml:space="preserve"> </w:t>
      </w:r>
      <w:r>
        <w:t xml:space="preserve">Analysis:</w:t>
      </w:r>
      <w:r>
        <w:t xml:space="preserve"> </w:t>
      </w:r>
      <w:r>
        <w:t xml:space="preserve">Indonesia</w:t>
      </w:r>
      <w:r>
        <w:t xml:space="preserve"> </w:t>
      </w:r>
      <w:r>
        <w:t xml:space="preserve">Jakarta</w:t>
      </w:r>
    </w:p>
    <w:bookmarkStart w:id="26" w:name="X63250ae4c838cf0f676264ddc5678b94cc0ea92"/>
    <w:p>
      <w:pPr>
        <w:pStyle w:val="Heading1"/>
      </w:pPr>
      <w:r>
        <w:t xml:space="preserve">Quarterly Sales Performance Report &amp; Auditor Compliance Assessment: Indonesia Jakarta Market (Q2 2023)</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Regional Management, PT. Solusi Global Indonesia</w:t>
      </w:r>
      <w:r>
        <w:br/>
      </w:r>
      <w:r>
        <w:rPr>
          <w:bCs/>
          <w:b/>
        </w:rPr>
        <w:t xml:space="preserve">Prepared By:</w:t>
      </w:r>
      <w:r>
        <w:t xml:space="preserve"> </w:t>
      </w:r>
      <w:r>
        <w:t xml:space="preserve">Sales &amp; Compliance Audit Team</w:t>
      </w:r>
    </w:p>
    <w:bookmarkStart w:id="20" w:name="i.-executive-summary"/>
    <w:p>
      <w:pPr>
        <w:pStyle w:val="Heading2"/>
      </w:pPr>
      <w:r>
        <w:t xml:space="preserve">I. Executive Summary</w:t>
      </w:r>
    </w:p>
    <w:p>
      <w:pPr>
        <w:pStyle w:val="FirstParagraph"/>
      </w:pPr>
      <w:r>
        <w:t xml:space="preserve">This comprehensive Sales Report details Q2 2023 performance for the Jakarta metropolitan area, audited by independent external Auditor PT. Bina Audit Indonesia (BAI). The report confirms a 14% year-on-year increase in sales revenue to IDR 48.7 billion, driven by strategic expansion in the technology and retail sectors within Indonesia Jakarta. The Auditor's compliance review validated data accuracy across all key metrics, ensuring adherence to Indonesian Financial Reporting Standards (SAP) and local tax regulations. Critical findings from the Auditor emphasize data integrity improvements required to sustain growth in Jakarta's competitive market environment.</w:t>
      </w:r>
    </w:p>
    <w:bookmarkEnd w:id="20"/>
    <w:bookmarkStart w:id="21" w:name="X8a8ba7515c06c15c8ea0ed3da3bb5d4ef399ab2"/>
    <w:p>
      <w:pPr>
        <w:pStyle w:val="Heading2"/>
      </w:pPr>
      <w:r>
        <w:t xml:space="preserve">II. Sales Performance Metrics: Indonesia Jakarta Focus</w:t>
      </w:r>
    </w:p>
    <w:p>
      <w:pPr>
        <w:pStyle w:val="FirstParagraph"/>
      </w:pPr>
      <w:r>
        <w:t xml:space="preserve">The Indonesia Jakarta region generated 38% of PT. Solusi Global's national quarterly revenue, solidifying its position as the company’s primary economic engine.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Q2 2023</w:t>
            </w:r>
          </w:p>
        </w:tc>
        <w:tc>
          <w:tcPr/>
          <w:p>
            <w:pPr>
              <w:pStyle w:val="Compact"/>
              <w:jc w:val="left"/>
            </w:pPr>
            <w:r>
              <w:t xml:space="preserve">Q1 2023</w:t>
            </w:r>
          </w:p>
        </w:tc>
        <w:tc>
          <w:tcPr/>
          <w:p>
            <w:pPr>
              <w:pStyle w:val="Compact"/>
              <w:jc w:val="left"/>
            </w:pPr>
            <w:r>
              <w:t xml:space="preserve">% Change (YoY)</w:t>
            </w:r>
          </w:p>
        </w:tc>
      </w:tr>
      <w:tr>
        <w:tc>
          <w:tcPr/>
          <w:p>
            <w:pPr>
              <w:pStyle w:val="Compact"/>
              <w:jc w:val="left"/>
            </w:pPr>
            <w:r>
              <w:t xml:space="preserve">Total Revenue (IDR)</w:t>
            </w:r>
          </w:p>
        </w:tc>
        <w:tc>
          <w:tcPr/>
          <w:p>
            <w:pPr>
              <w:pStyle w:val="Compact"/>
              <w:jc w:val="left"/>
            </w:pPr>
            <w:r>
              <w:t xml:space="preserve">48.7 Bn</w:t>
            </w:r>
          </w:p>
        </w:tc>
        <w:tc>
          <w:tcPr/>
          <w:p>
            <w:pPr>
              <w:pStyle w:val="Compact"/>
              <w:jc w:val="left"/>
            </w:pPr>
            <w:r>
              <w:t xml:space="preserve">45.1 Bn</w:t>
            </w:r>
          </w:p>
        </w:tc>
        <w:tc>
          <w:tcPr/>
          <w:p>
            <w:pPr>
              <w:pStyle w:val="Compact"/>
              <w:jc w:val="left"/>
            </w:pPr>
            <w:r>
              <w:t xml:space="preserve">+14%</w:t>
            </w:r>
          </w:p>
        </w:tc>
      </w:tr>
      <w:tr>
        <w:tc>
          <w:tcPr/>
          <w:p>
            <w:pPr>
              <w:pStyle w:val="Compact"/>
              <w:jc w:val="left"/>
            </w:pPr>
            <w:r>
              <w:t xml:space="preserve">New Client Acquisition</w:t>
            </w:r>
          </w:p>
        </w:tc>
        <w:tc>
          <w:tcPr>
            <w:gridSpan w:val="2"/>
          </w:tcPr>
          <w:p>
            <w:pPr>
              <w:pStyle w:val="Compact"/>
              <w:jc w:val="left"/>
            </w:pPr>
            <w:r>
              <w:t xml:space="preserve">372 clients (+21% YoY)</w:t>
            </w:r>
          </w:p>
        </w:tc>
        <w:tc>
          <w:tcPr/>
          <w:p>
            <w:pPr>
              <w:pStyle w:val="Compact"/>
            </w:pPr>
          </w:p>
        </w:tc>
      </w:tr>
      <w:tr>
        <w:tc>
          <w:tcPr/>
          <w:p>
            <w:pPr>
              <w:pStyle w:val="Compact"/>
              <w:jc w:val="left"/>
            </w:pPr>
            <w:r>
              <w:t xml:space="preserve">Product Segment Growth (Jakarta)</w:t>
            </w:r>
          </w:p>
        </w:tc>
        <w:tc>
          <w:tcPr>
            <w:gridSpan w:val="3"/>
          </w:tcPr>
          <w:p>
            <w:pPr>
              <w:pStyle w:val="Compact"/>
              <w:jc w:val="left"/>
            </w:pPr>
            <w:r>
              <w:t xml:space="preserve">Cloud Solutions: +18%, Enterprise Software: +9%, Retail Analytics: +34%</w:t>
            </w:r>
          </w:p>
        </w:tc>
      </w:tr>
    </w:tbl>
    <w:p>
      <w:pPr>
        <w:pStyle w:val="BodyText"/>
      </w:pPr>
      <w:r>
        <w:t xml:space="preserve">The Auditor’s verification confirmed 99.2% accuracy in sales data reconciliation against invoice records, significantly exceeding the Jakarta market benchmark of 96.5%. This precision was attributed to recent CRM system upgrades implemented across Jakarta offices in Q1 2023.</w:t>
      </w:r>
    </w:p>
    <w:bookmarkEnd w:id="21"/>
    <w:bookmarkStart w:id="22" w:name="X7976bb92eabc795485b02cac64529d039c9fb0f"/>
    <w:p>
      <w:pPr>
        <w:pStyle w:val="Heading2"/>
      </w:pPr>
      <w:r>
        <w:t xml:space="preserve">III. Market Analysis: Indonesia Jakarta Economic Context</w:t>
      </w:r>
    </w:p>
    <w:p>
      <w:pPr>
        <w:pStyle w:val="FirstParagraph"/>
      </w:pPr>
      <w:r>
        <w:t xml:space="preserve">As Indonesia’s capital and economic hub, Jakarta represents a dynamic market with unique challenges and opportunities. The Auditor highlighted three critical factors impacting sales performance:</w:t>
      </w:r>
    </w:p>
    <w:p>
      <w:pPr>
        <w:numPr>
          <w:ilvl w:val="0"/>
          <w:numId w:val="1001"/>
        </w:numPr>
        <w:pStyle w:val="Compact"/>
      </w:pPr>
      <w:r>
        <w:rPr>
          <w:bCs/>
          <w:b/>
        </w:rPr>
        <w:t xml:space="preserve">Infrastructure Constraints:</w:t>
      </w:r>
      <w:r>
        <w:t xml:space="preserve"> </w:t>
      </w:r>
      <w:r>
        <w:t xml:space="preserve">Traffic congestion in Greater Jakarta reduced average sales team productivity by 22% during Q2. The Auditor recommended optimizing field visit scheduling through AI-driven route planning to counter this challenge.</w:t>
      </w:r>
    </w:p>
    <w:p>
      <w:pPr>
        <w:numPr>
          <w:ilvl w:val="0"/>
          <w:numId w:val="1001"/>
        </w:numPr>
        <w:pStyle w:val="Compact"/>
      </w:pPr>
      <w:r>
        <w:rPr>
          <w:bCs/>
          <w:b/>
        </w:rPr>
        <w:t xml:space="preserve">Regulatory Environment:</w:t>
      </w:r>
      <w:r>
        <w:t xml:space="preserve"> </w:t>
      </w:r>
      <w:r>
        <w:t xml:space="preserve">Compliance with Indonesia’s Tax Authority (Dirjen Pajak) and BPJS Ketenagakerjaan requirements was fully validated by the Auditor. Non-compliance in Q1 2023 led to a 5% revenue penalty; corrective actions have since been embedded into Jakarta sales processes.</w:t>
      </w:r>
    </w:p>
    <w:p>
      <w:pPr>
        <w:numPr>
          <w:ilvl w:val="0"/>
          <w:numId w:val="1001"/>
        </w:numPr>
        <w:pStyle w:val="Compact"/>
      </w:pPr>
      <w:r>
        <w:rPr>
          <w:bCs/>
          <w:b/>
        </w:rPr>
        <w:t xml:space="preserve">Cultural Nuances:</w:t>
      </w:r>
      <w:r>
        <w:t xml:space="preserve"> </w:t>
      </w:r>
      <w:r>
        <w:t xml:space="preserve">Jakarta’s business culture prioritizes relationship-building. The Sales Report notes that client acquisition in West Jakarta (e.g., Kuningan, Senayan) increased by 27% through localized cultural engagement strategies approved by the Auditor.</w:t>
      </w:r>
    </w:p>
    <w:bookmarkEnd w:id="22"/>
    <w:bookmarkStart w:id="23" w:name="Xd59c1b502ddcc7510cfe8fad187954893317ec9"/>
    <w:p>
      <w:pPr>
        <w:pStyle w:val="Heading2"/>
      </w:pPr>
      <w:r>
        <w:t xml:space="preserve">IV. Auditor Compliance Findings &amp; Recommendations</w:t>
      </w:r>
    </w:p>
    <w:p>
      <w:pPr>
        <w:pStyle w:val="FirstParagraph"/>
      </w:pPr>
      <w:r>
        <w:t xml:space="preserve">PT. Bina Audit Indonesia conducted a rigorous sales audit across Jakarta’s 14 operational branches from June 5–15, 2023. Key findings include:</w:t>
      </w:r>
    </w:p>
    <w:p>
      <w:pPr>
        <w:numPr>
          <w:ilvl w:val="0"/>
          <w:numId w:val="1002"/>
        </w:numPr>
        <w:pStyle w:val="Compact"/>
      </w:pPr>
      <w:r>
        <w:rPr>
          <w:bCs/>
          <w:b/>
        </w:rPr>
        <w:t xml:space="preserve">Data Integrity Enhancement Needed:</w:t>
      </w:r>
      <w:r>
        <w:t xml:space="preserve"> </w:t>
      </w:r>
      <w:r>
        <w:t xml:space="preserve">The Auditor identified inconsistent invoice tracking in three Jakarta satellite offices (Ciputat, Bekasi). This caused a 3.2% revenue underreporting risk during Q1 2023. A corrective plan is underway.</w:t>
      </w:r>
    </w:p>
    <w:p>
      <w:pPr>
        <w:numPr>
          <w:ilvl w:val="0"/>
          <w:numId w:val="1002"/>
        </w:numPr>
        <w:pStyle w:val="Compact"/>
      </w:pPr>
      <w:r>
        <w:rPr>
          <w:bCs/>
          <w:b/>
        </w:rPr>
        <w:t xml:space="preserve">Compliance with Local Laws:</w:t>
      </w:r>
      <w:r>
        <w:t xml:space="preserve"> </w:t>
      </w:r>
      <w:r>
        <w:t xml:space="preserve">All sales contracts reviewed complied with Indonesian Law No. 40/2007 on Limited Liability Companies and Tax Regulation PMK-165/2019. The Auditor certified full alignment with Jakarta’s local business licensing requirements.</w:t>
      </w:r>
    </w:p>
    <w:p>
      <w:pPr>
        <w:numPr>
          <w:ilvl w:val="0"/>
          <w:numId w:val="1002"/>
        </w:numPr>
        <w:pStyle w:val="Compact"/>
      </w:pPr>
      <w:r>
        <w:rPr>
          <w:bCs/>
          <w:b/>
        </w:rPr>
        <w:t xml:space="preserve">Sales Training Gap:</w:t>
      </w:r>
      <w:r>
        <w:t xml:space="preserve"> </w:t>
      </w:r>
      <w:r>
        <w:t xml:space="preserve">Only 68% of Jakarta sales staff had completed mandatory compliance training (vs. 92% national average). The Auditor recommended mandatory quarterly workshops to address this gap, especially for new hires in emerging sectors like e-commerce logistics.</w:t>
      </w:r>
    </w:p>
    <w:bookmarkEnd w:id="23"/>
    <w:bookmarkStart w:id="24" w:name="Xcef053f121bcaafca47178fe4b26f775e0aaaae"/>
    <w:p>
      <w:pPr>
        <w:pStyle w:val="Heading2"/>
      </w:pPr>
      <w:r>
        <w:t xml:space="preserve">V. Jakarta-Specific Challenges &amp; Strategic Response</w:t>
      </w:r>
    </w:p>
    <w:p>
      <w:pPr>
        <w:pStyle w:val="FirstParagraph"/>
      </w:pPr>
      <w:r>
        <w:t xml:space="preserve">As the largest market, Jakarta presents unique operational hurdles that directly impact the Sales Report's narrative:</w:t>
      </w:r>
    </w:p>
    <w:p>
      <w:pPr>
        <w:numPr>
          <w:ilvl w:val="0"/>
          <w:numId w:val="1003"/>
        </w:numPr>
        <w:pStyle w:val="Compact"/>
      </w:pPr>
      <w:r>
        <w:rPr>
          <w:bCs/>
          <w:b/>
        </w:rPr>
        <w:t xml:space="preserve">Competition Intensity:</w:t>
      </w:r>
      <w:r>
        <w:t xml:space="preserve"> </w:t>
      </w:r>
      <w:r>
        <w:t xml:space="preserve">17 new competitors entered Jakarta’s B2B software market in Q2 2023. The Auditor advised increasing client retention incentives, leading to a targeted "Loyalty Plus" program that reduced churn by 8.3%.</w:t>
      </w:r>
    </w:p>
    <w:p>
      <w:pPr>
        <w:numPr>
          <w:ilvl w:val="0"/>
          <w:numId w:val="1003"/>
        </w:numPr>
        <w:pStyle w:val="Compact"/>
      </w:pPr>
      <w:r>
        <w:rPr>
          <w:bCs/>
          <w:b/>
        </w:rPr>
        <w:t xml:space="preserve">Tax Complexity:</w:t>
      </w:r>
      <w:r>
        <w:t xml:space="preserve"> </w:t>
      </w:r>
      <w:r>
        <w:t xml:space="preserve">Multi-layered VAT (PPN) and local business tax (PBB) requirements in Jakarta necessitated real-time system updates. The Auditor validated our new tax-compliant CRM module, reducing reporting errors by 41%.</w:t>
      </w:r>
    </w:p>
    <w:p>
      <w:pPr>
        <w:numPr>
          <w:ilvl w:val="0"/>
          <w:numId w:val="1003"/>
        </w:numPr>
        <w:pStyle w:val="Compact"/>
      </w:pPr>
      <w:r>
        <w:rPr>
          <w:bCs/>
          <w:b/>
        </w:rPr>
        <w:t xml:space="preserve">Remote Work Adaptation:</w:t>
      </w:r>
      <w:r>
        <w:t xml:space="preserve"> </w:t>
      </w:r>
      <w:r>
        <w:t xml:space="preserve">Post-pandemic, Jakarta’s hybrid work model reduced face-to-face client meetings by 35%. The Sales Report confirms a 20% rise in virtual demo bookings, with the Auditor endorsing digital engagement tools as a long-term strategy.</w:t>
      </w:r>
    </w:p>
    <w:bookmarkEnd w:id="24"/>
    <w:bookmarkStart w:id="25" w:name="vi.-conclusion-forward-looking-strategy"/>
    <w:p>
      <w:pPr>
        <w:pStyle w:val="Heading2"/>
      </w:pPr>
      <w:r>
        <w:t xml:space="preserve">VI. Conclusion &amp; Forward-Looking Strategy</w:t>
      </w:r>
    </w:p>
    <w:p>
      <w:pPr>
        <w:pStyle w:val="FirstParagraph"/>
      </w:pPr>
      <w:r>
        <w:t xml:space="preserve">The Q2 Sales Report for Indonesia Jakarta demonstrates robust growth under rigorous Auditor scrutiny. The Jakarta market remains pivotal to PT. Solusi Global’s national expansion, contributing 45% of total enterprise sales despite regional economic headwinds. The Auditor has certified the accuracy of all reported figures and confirmed that compliance protocols now exceed Indonesian regulatory expectations.</w:t>
      </w:r>
    </w:p>
    <w:p>
      <w:pPr>
        <w:pStyle w:val="BodyText"/>
      </w:pPr>
      <w:r>
        <w:t xml:space="preserve">For Q3 2023, we prioritize three initiatives directly addressing the Auditor’s recommendations:</w:t>
      </w:r>
    </w:p>
    <w:p>
      <w:pPr>
        <w:numPr>
          <w:ilvl w:val="0"/>
          <w:numId w:val="1004"/>
        </w:numPr>
        <w:pStyle w:val="Compact"/>
      </w:pPr>
      <w:r>
        <w:t xml:space="preserve">Implement AI-powered sales forecasting tools across Jakarta to counter traffic-related productivity losses.</w:t>
      </w:r>
    </w:p>
    <w:p>
      <w:pPr>
        <w:numPr>
          <w:ilvl w:val="0"/>
          <w:numId w:val="1004"/>
        </w:numPr>
        <w:pStyle w:val="Compact"/>
      </w:pPr>
      <w:r>
        <w:t xml:space="preserve">Launch mandatory compliance training for all Jakarta sales staff by August 15, 2023 (in partnership with local Indonesian business schools).</w:t>
      </w:r>
    </w:p>
    <w:p>
      <w:pPr>
        <w:numPr>
          <w:ilvl w:val="0"/>
          <w:numId w:val="1004"/>
        </w:numPr>
        <w:pStyle w:val="Compact"/>
      </w:pPr>
      <w:r>
        <w:t xml:space="preserve">Develop a Jakarta-specific client retention index, benchmarked against the Auditor’s validated market metrics.</w:t>
      </w:r>
    </w:p>
    <w:p>
      <w:pPr>
        <w:pStyle w:val="FirstParagraph"/>
      </w:pPr>
      <w:r>
        <w:t xml:space="preserve">This Sales Report underscores that Indonesia Jakarta is not merely a revenue center but a strategic laboratory for innovation within our regional operations. The Auditor’s role in validating data integrity and compliance remains indispensable to maintaining investor trust and regulatory standing in Indonesia's evolving business landscape. As Jakarta continues its journey as Southeast Asia’s premier economic hub, our sales strategy must evolve with its pace—proven through rigorous audit processes that ensure every metric reflects true market reality.</w:t>
      </w:r>
    </w:p>
    <w:p>
      <w:pPr>
        <w:pStyle w:val="BodyText"/>
      </w:pPr>
      <w:r>
        <w:rPr>
          <w:iCs/>
          <w:i/>
        </w:rPr>
        <w:t xml:space="preserve">Approved by Auditor PT. Bina Audit Indonesia (License No.: BAI-2023-JKT-789)</w:t>
      </w:r>
      <w:r>
        <w:br/>
      </w:r>
      <w:r>
        <w:rPr>
          <w:iCs/>
          <w:i/>
        </w:rPr>
        <w:t xml:space="preserve">Certified Data Accuracy: 99.2% (as per Q2 2023 External Audit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&amp; Auditor Compliance Analysis: Indonesia Jakarta</dc:title>
  <dc:creator/>
  <dc:language>en</dc:language>
  <cp:keywords/>
  <dcterms:created xsi:type="dcterms:W3CDTF">2025-12-13T03:10:40Z</dcterms:created>
  <dcterms:modified xsi:type="dcterms:W3CDTF">2025-12-13T03:10:40Z</dcterms:modified>
</cp:coreProperties>
</file>

<file path=docProps/custom.xml><?xml version="1.0" encoding="utf-8"?>
<Properties xmlns="http://schemas.openxmlformats.org/officeDocument/2006/custom-properties" xmlns:vt="http://schemas.openxmlformats.org/officeDocument/2006/docPropsVTypes"/>
</file>