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ea6694dfa144c0a9523d74f19b3cf1fd232fa53"/>
    <w:p>
      <w:pPr>
        <w:pStyle w:val="Heading1"/>
      </w:pPr>
      <w:r>
        <w:t xml:space="preserve">Quarterly Sales Report: Auditor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Sales &amp; Business Development Department</w:t>
      </w:r>
    </w:p>
    <w:bookmarkStart w:id="20" w:name="i.-executive-summary"/>
    <w:p>
      <w:pPr>
        <w:pStyle w:val="Heading2"/>
      </w:pPr>
      <w:r>
        <w:t xml:space="preserve">I. Executive Summary</w:t>
      </w:r>
    </w:p>
    <w:p>
      <w:pPr>
        <w:pStyle w:val="FirstParagraph"/>
      </w:pPr>
      <w:r>
        <w:t xml:space="preserve">This Sales Report details the performance of our Auditor services across Iran Tehran during Q3 2023. Despite complex regulatory environments and economic fluctuations, our team achieved a 14% year-over-year growth in auditor service contracts, securing 37 new clients in Tehran's corporate sector. The report highlights strategic wins in key industries while addressing challenges unique to the Iranian market. As the premier provider of independent Auditor solutions for Iran Tehran businesses, this performance underscores our deepening market penetration and client trust.</w:t>
      </w:r>
    </w:p>
    <w:bookmarkEnd w:id="20"/>
    <w:bookmarkStart w:id="21" w:name="Xb64b0b4f8ccc39878272154b2657eb7904e3d17"/>
    <w:p>
      <w:pPr>
        <w:pStyle w:val="Heading2"/>
      </w:pPr>
      <w:r>
        <w:t xml:space="preserve">II. Market Context: Auditor Services in Iran Tehran</w:t>
      </w:r>
    </w:p>
    <w:p>
      <w:pPr>
        <w:pStyle w:val="FirstParagraph"/>
      </w:pPr>
      <w:r>
        <w:t xml:space="preserve">Tehran's financial landscape demands rigorous Auditor expertise due to evolving tax codes, international sanctions compliance requirements, and growing corporate governance standards. The Iranian government's recent Financial Transparency Initiative has accelerated demand for certified Auditor services across manufacturing, banking, and energy sectors. Our Sales Report confirms Tehran remains the critical hub for 82% of our national auditor contracts, with clients specifically seeking local regulatory knowledge combined with global audit methodologies.</w:t>
      </w:r>
    </w:p>
    <w:bookmarkEnd w:id="21"/>
    <w:bookmarkStart w:id="22" w:name="X8372228b1a88f6a195449d2b0a0b334e3819e8d"/>
    <w:p>
      <w:pPr>
        <w:pStyle w:val="Heading2"/>
      </w:pPr>
      <w:r>
        <w:t xml:space="preserve">III. Q3 2023 Sales Performance (Iran Tehran Focus)</w:t>
      </w:r>
    </w:p>
    <w:p>
      <w:pPr>
        <w:pStyle w:val="FirstParagraph"/>
      </w:pPr>
      <w:r>
        <w:t xml:space="preserve">Category</w:t>
      </w:r>
    </w:p>
    <w:p>
      <w:pPr>
        <w:pStyle w:val="BodyText"/>
      </w:pPr>
      <w:r>
        <w:t xml:space="preserve">Q3 2023 Value</w:t>
      </w:r>
    </w:p>
    <w:p>
      <w:pPr>
        <w:pStyle w:val="BodyText"/>
      </w:pPr>
      <w:r>
        <w:t xml:space="preserve">YoY Change</w:t>
      </w:r>
    </w:p>
    <w:p>
      <w:pPr>
        <w:pStyle w:val="BodyText"/>
      </w:pPr>
      <w:r>
        <w:t xml:space="preserve">Tehran Market Share</w:t>
      </w:r>
    </w:p>
    <w:p>
      <w:pPr>
        <w:pStyle w:val="BodyText"/>
      </w:pPr>
      <w:r>
        <w:t xml:space="preserve">Total Auditor Contracts Closed</w:t>
      </w:r>
    </w:p>
    <w:p>
      <w:pPr>
        <w:pStyle w:val="BodyText"/>
      </w:pPr>
      <w:r>
        <w:t xml:space="preserve">$1.85M USD</w:t>
      </w:r>
    </w:p>
    <w:p>
      <w:pPr>
        <w:pStyle w:val="BodyText"/>
      </w:pPr>
      <w:r>
        <w:t xml:space="preserve">+14%</w:t>
      </w:r>
    </w:p>
    <w:p>
      <w:pPr>
        <w:pStyle w:val="BodyText"/>
      </w:pPr>
      <w:r>
        <w:t xml:space="preserve">76%</w:t>
      </w:r>
    </w:p>
    <w:p>
      <w:pPr>
        <w:pStyle w:val="BodyText"/>
      </w:pPr>
      <w:r>
        <w:t xml:space="preserve">New Enterprise Clients (Tehran)</w:t>
      </w:r>
    </w:p>
    <w:p>
      <w:pPr>
        <w:pStyle w:val="BodyText"/>
      </w:pPr>
      <w:r>
        <w:t xml:space="preserve">22</w:t>
      </w:r>
    </w:p>
    <w:p>
      <w:pPr>
        <w:pStyle w:val="BodyText"/>
      </w:pPr>
      <w:r>
        <w:t xml:space="preserve">+29%</w:t>
      </w:r>
    </w:p>
    <w:p>
      <w:pPr>
        <w:pStyle w:val="BodyText"/>
      </w:pPr>
      <w:r>
        <w:t xml:space="preserve">Mid-Market Clients (Tehran)</w:t>
      </w:r>
    </w:p>
    <w:p>
      <w:pPr>
        <w:pStyle w:val="BodyText"/>
      </w:pPr>
      <w:r>
        <w:t xml:space="preserve">15</w:t>
      </w:r>
    </w:p>
    <w:p>
      <w:pPr>
        <w:pStyle w:val="BodyText"/>
      </w:pPr>
      <w:r>
        <w:t xml:space="preserve">The Tehran focus delivered exceptional results: 87% of new contracts originated from the Tehran metropolitan area, including major clients like Iran Petrochemical Group (Tehran office) and Bank Saderat's compliance division. Notably, our specialized Auditor service for sanctioned entities achieved a breakthrough with a $420K contract from an Iranian pharmaceutical manufacturer navigating export regulations.</w:t>
      </w:r>
    </w:p>
    <w:bookmarkEnd w:id="22"/>
    <w:bookmarkStart w:id="25" w:name="X54c28edf8f8a5824b17ad93e9200a241742ce5d"/>
    <w:p>
      <w:pPr>
        <w:pStyle w:val="Heading2"/>
      </w:pPr>
      <w:r>
        <w:t xml:space="preserve">IV. Key Client Success Stories (Iran Tehran)</w:t>
      </w:r>
    </w:p>
    <w:bookmarkStart w:id="23" w:name="Xa86c07b2a69ff70b08a9da5912703a073e09abb"/>
    <w:p>
      <w:pPr>
        <w:pStyle w:val="Heading3"/>
      </w:pPr>
      <w:r>
        <w:t xml:space="preserve">A. National Bank of Iran (NBI) - Tehran Headquarters</w:t>
      </w:r>
    </w:p>
    <w:p>
      <w:pPr>
        <w:pStyle w:val="FirstParagraph"/>
      </w:pPr>
      <w:r>
        <w:t xml:space="preserve">Secured a 15-month Auditor engagement valued at $380,000 to implement IFRS compliance frameworks across NBI's 47 branch offices in Tehran. This contract followed our team's demonstration of understanding Iran's Central Bank Directive No. 224 on internal audit standards.</w:t>
      </w:r>
    </w:p>
    <w:bookmarkEnd w:id="23"/>
    <w:bookmarkStart w:id="24" w:name="b.-tehran-steel-manufacturing-co."/>
    <w:p>
      <w:pPr>
        <w:pStyle w:val="Heading3"/>
      </w:pPr>
      <w:r>
        <w:t xml:space="preserve">B. Tehran Steel Manufacturing Co.</w:t>
      </w:r>
    </w:p>
    <w:p>
      <w:pPr>
        <w:pStyle w:val="FirstParagraph"/>
      </w:pPr>
      <w:r>
        <w:t xml:space="preserve">Resolved a critical regulatory gap for this $180M enterprise through our customized Auditor solution, preventing potential sanctions-related penalties. The engagement increased client retention by 65% and generated two referral contracts within Tehran's industrial park.</w:t>
      </w:r>
    </w:p>
    <w:bookmarkEnd w:id="24"/>
    <w:bookmarkEnd w:id="25"/>
    <w:bookmarkStart w:id="26" w:name="v.-challenges-specific-to-iran-tehran"/>
    <w:p>
      <w:pPr>
        <w:pStyle w:val="Heading2"/>
      </w:pPr>
      <w:r>
        <w:t xml:space="preserve">V. Challenges Specific to Iran Tehran</w:t>
      </w:r>
    </w:p>
    <w:p>
      <w:pPr>
        <w:pStyle w:val="FirstParagraph"/>
      </w:pPr>
      <w:r>
        <w:t xml:space="preserve">Our Sales Report identifies three critical challenges requiring strategic adaptation:</w:t>
      </w:r>
    </w:p>
    <w:p>
      <w:pPr>
        <w:numPr>
          <w:ilvl w:val="0"/>
          <w:numId w:val="1001"/>
        </w:numPr>
        <w:pStyle w:val="Compact"/>
      </w:pPr>
      <w:r>
        <w:rPr>
          <w:bCs/>
          <w:b/>
        </w:rPr>
        <w:t xml:space="preserve">Regulatory Volatility:</w:t>
      </w:r>
      <w:r>
        <w:t xml:space="preserve"> </w:t>
      </w:r>
      <w:r>
        <w:t xml:space="preserve">Frequent amendments to Iran's Commercial Code demand constant Auditor service updates. Our Tehran team conducted 12 rapid-response training sessions in Q3 for client-facing Auditor staff.</w:t>
      </w:r>
    </w:p>
    <w:p>
      <w:pPr>
        <w:numPr>
          <w:ilvl w:val="0"/>
          <w:numId w:val="1001"/>
        </w:numPr>
        <w:pStyle w:val="Compact"/>
      </w:pPr>
      <w:r>
        <w:rPr>
          <w:bCs/>
          <w:b/>
        </w:rPr>
        <w:t xml:space="preserve">Currency Fluctuation Impact:</w:t>
      </w:r>
      <w:r>
        <w:t xml:space="preserve"> </w:t>
      </w:r>
      <w:r>
        <w:t xml:space="preserve">78% of Tehran clients operate in USD/IRR hybrid transactions. We implemented a dynamic pricing model reducing contract abandonment by 22% during Q3.</w:t>
      </w:r>
    </w:p>
    <w:p>
      <w:pPr>
        <w:numPr>
          <w:ilvl w:val="0"/>
          <w:numId w:val="1001"/>
        </w:numPr>
        <w:pStyle w:val="Compact"/>
      </w:pPr>
      <w:r>
        <w:rPr>
          <w:bCs/>
          <w:b/>
        </w:rPr>
        <w:t xml:space="preserve">Talent Acquisition:</w:t>
      </w:r>
      <w:r>
        <w:t xml:space="preserve"> </w:t>
      </w:r>
      <w:r>
        <w:t xml:space="preserve">Shortage of certified Auditor professionals in Tehran led to a 10-month recruitment pipeline. Solution: Partnering with Tehran University's Accounting School for specialized training programs (now yielding 8 new hires).</w:t>
      </w:r>
    </w:p>
    <w:bookmarkEnd w:id="26"/>
    <w:bookmarkStart w:id="27" w:name="X5ddd07ce131b183863a3153022f93c03f62cf33"/>
    <w:p>
      <w:pPr>
        <w:pStyle w:val="Heading2"/>
      </w:pPr>
      <w:r>
        <w:t xml:space="preserve">VI. Strategic Opportunities in Iran Tehran</w:t>
      </w:r>
    </w:p>
    <w:p>
      <w:pPr>
        <w:pStyle w:val="FirstParagraph"/>
      </w:pPr>
      <w:r>
        <w:t xml:space="preserve">Our analysis reveals three high-potential growth areas for Auditor services:</w:t>
      </w:r>
    </w:p>
    <w:p>
      <w:pPr>
        <w:numPr>
          <w:ilvl w:val="0"/>
          <w:numId w:val="1002"/>
        </w:numPr>
        <w:pStyle w:val="Compact"/>
      </w:pPr>
      <w:r>
        <w:rPr>
          <w:bCs/>
          <w:b/>
        </w:rPr>
        <w:t xml:space="preserve">E-commerce Sector Expansion:</w:t>
      </w:r>
      <w:r>
        <w:t xml:space="preserve"> </w:t>
      </w:r>
      <w:r>
        <w:t xml:space="preserve">Tehran's burgeoning digital economy requires specialized auditor services for Fintech and e-commerce platforms. Pilot contracts with two major Tehran-based platforms are underway.</w:t>
      </w:r>
    </w:p>
    <w:p>
      <w:pPr>
        <w:numPr>
          <w:ilvl w:val="0"/>
          <w:numId w:val="1002"/>
        </w:numPr>
        <w:pStyle w:val="Compact"/>
      </w:pPr>
      <w:r>
        <w:rPr>
          <w:bCs/>
          <w:b/>
        </w:rPr>
        <w:t xml:space="preserve">Sustainability Reporting Demand:</w:t>
      </w:r>
      <w:r>
        <w:t xml:space="preserve"> </w:t>
      </w:r>
      <w:r>
        <w:t xml:space="preserve">New Iranian Ministry of Industry requirements for carbon audits have created a $9M market opportunity. Our Tehran office launched dedicated ESG Auditor services in September.</w:t>
      </w:r>
    </w:p>
    <w:p>
      <w:pPr>
        <w:numPr>
          <w:ilvl w:val="0"/>
          <w:numId w:val="1002"/>
        </w:numPr>
        <w:pStyle w:val="Compact"/>
      </w:pPr>
      <w:r>
        <w:rPr>
          <w:bCs/>
          <w:b/>
        </w:rPr>
        <w:t xml:space="preserve">Sanctions Compliance Integration:</w:t>
      </w:r>
      <w:r>
        <w:t xml:space="preserve"> </w:t>
      </w:r>
      <w:r>
        <w:t xml:space="preserve">43% of Tehran manufacturing clients require real-time sanctions monitoring. We're developing an integrated Auditor platform with Iran's Trade Ministry pilot program.</w:t>
      </w:r>
    </w:p>
    <w:bookmarkEnd w:id="27"/>
    <w:bookmarkStart w:id="28" w:name="X4cfbd39dd5e3e75e4d5369f919daa851a0b56d3"/>
    <w:p>
      <w:pPr>
        <w:pStyle w:val="Heading2"/>
      </w:pPr>
      <w:r>
        <w:t xml:space="preserve">VII. Action Plan for Q4 2023 (Iran Tehran Focus)</w:t>
      </w:r>
    </w:p>
    <w:p>
      <w:pPr>
        <w:pStyle w:val="FirstParagraph"/>
      </w:pPr>
      <w:r>
        <w:t xml:space="preserve">Action Item</w:t>
      </w:r>
    </w:p>
    <w:p>
      <w:pPr>
        <w:pStyle w:val="BodyText"/>
      </w:pPr>
      <w:r>
        <w:t xml:space="preserve">Responsible Team</w:t>
      </w:r>
    </w:p>
    <w:p>
      <w:pPr>
        <w:pStyle w:val="BodyText"/>
      </w:pPr>
      <w:r>
        <w:t xml:space="preserve">Timeline</w:t>
      </w:r>
    </w:p>
    <w:p>
      <w:pPr>
        <w:pStyle w:val="BodyText"/>
      </w:pPr>
      <w:r>
        <w:t xml:space="preserve">Expected Outcome</w:t>
      </w:r>
    </w:p>
    <w:p>
      <w:pPr>
        <w:pStyle w:val="BodyText"/>
      </w:pPr>
      <w:r>
        <w:t xml:space="preserve">Leverage Tehran University Partnership for Auditor Training</w:t>
      </w:r>
    </w:p>
    <w:p>
      <w:pPr>
        <w:pStyle w:val="BodyText"/>
      </w:pPr>
      <w:r>
        <w:t xml:space="preserve">Tehran HR &amp; Compliance</w:t>
      </w:r>
    </w:p>
    <w:p>
      <w:pPr>
        <w:pStyle w:val="BodyText"/>
      </w:pPr>
      <w:r>
        <w:t xml:space="preserve">Nov 2023</w:t>
      </w:r>
    </w:p>
    <w:p>
      <w:pPr>
        <w:pStyle w:val="BodyText"/>
      </w:pPr>
      <w:r>
        <w:t xml:space="preserve">15+ certified local Auditor staff added</w:t>
      </w:r>
    </w:p>
    <w:bookmarkEnd w:id="28"/>
    <w:bookmarkStart w:id="29" w:name="X64fefe53024b5bd143177e03da423a7000f4823"/>
    <w:p>
      <w:pPr>
        <w:pStyle w:val="Heading2"/>
      </w:pPr>
      <w:r>
        <w:t xml:space="preserve">VIII. Conclusion: The Future of Auditor Services in Iran Tehran</w:t>
      </w:r>
    </w:p>
    <w:p>
      <w:pPr>
        <w:pStyle w:val="FirstParagraph"/>
      </w:pPr>
      <w:r>
        <w:t xml:space="preserve">This Sales Report affirms that our Auditor service model is perfectly aligned with Iran Tehran's evolving business landscape. By embedding deep local market knowledge with global audit standards, we've positioned ourselves as the preferred Auditor partner for Tehran's most sophisticated enterprises. The 14% growth in Q3 demonstrates not only market demand but client confidence in our specialized approach to Iranian regulatory complexities.</w:t>
      </w:r>
    </w:p>
    <w:p>
      <w:pPr>
        <w:pStyle w:val="BodyText"/>
      </w:pPr>
      <w:r>
        <w:t xml:space="preserve">As Iran Tehran continues its economic modernization, the role of the independent Auditor has become indispensable for corporate transparency and compliance. Our strategic focus on Tehran-based solutions – including culturally attuned communication protocols and sanctions-adapted audit frameworks – ensures we remain at the forefront of this critical service. We project 20% growth for Auditor contracts in Tehran by Q2 2024, driven by our expanded ESG capabilities and tailored solutions for Iran's unique business environment.</w:t>
      </w:r>
    </w:p>
    <w:p>
      <w:pPr>
        <w:pStyle w:val="BodyText"/>
      </w:pPr>
      <w:r>
        <w:t xml:space="preserve">For stakeholders: The success of our Sales Report hinges on continued investment in Tehran's local expertise. We recommend allocating 35% of this year's training budget to Iran-specific auditor certification programs to sustain our competitive advantage in the capital city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Auditor Services in Iran Tehran</dc:title>
  <dc:creator/>
  <dc:language>en</dc:language>
  <cp:keywords/>
  <dcterms:created xsi:type="dcterms:W3CDTF">2025-12-12T11:03:21Z</dcterms:created>
  <dcterms:modified xsi:type="dcterms:W3CDTF">2025-12-12T11:03:21Z</dcterms:modified>
</cp:coreProperties>
</file>

<file path=docProps/custom.xml><?xml version="1.0" encoding="utf-8"?>
<Properties xmlns="http://schemas.openxmlformats.org/officeDocument/2006/custom-properties" xmlns:vt="http://schemas.openxmlformats.org/officeDocument/2006/docPropsVTypes"/>
</file>