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2d70f33495fe92f527db5a400ce6495ba2e4244"/>
    <w:p>
      <w:pPr>
        <w:pStyle w:val="Heading1"/>
      </w:pPr>
      <w:r>
        <w:t xml:space="preserve">COMPREHENSIVE SALES REPORT: AUDITOR SERVICES IN IRAQ BAGHDAD MARKET</w:t>
      </w:r>
    </w:p>
    <w:bookmarkStart w:id="20" w:name="Xb26bca017f06d0754e621159d0d9a62b8363426"/>
    <w:p>
      <w:pPr>
        <w:pStyle w:val="Heading2"/>
      </w:pPr>
      <w:r>
        <w:t xml:space="preserve">Prepared For: Global Financial Solutions International (GFSI) Executive Board</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Regional Sales &amp; Strategy Department</w:t>
      </w:r>
    </w:p>
    <w:bookmarkEnd w:id="20"/>
    <w:bookmarkStart w:id="21" w:name="i.-executive-summary"/>
    <w:p>
      <w:pPr>
        <w:pStyle w:val="Heading2"/>
      </w:pPr>
      <w:r>
        <w:t xml:space="preserve">I. Executive Summary</w:t>
      </w:r>
    </w:p>
    <w:p>
      <w:pPr>
        <w:pStyle w:val="FirstParagraph"/>
      </w:pPr>
      <w:r>
        <w:t xml:space="preserve">This Sales Report details the performance of our Auditor services across the critical Baghdad market, demonstrating significant growth in compliance-driven financial solutions for multinational corporations operating within Iraq. The Baghdad branch has achieved a 34% year-over-year increase in Auditor service contracts since Q1 2023, exceeding regional targets by 18%. This success underscores the strategic importance of our Audit services within the complex regulatory environment of Iraq Baghdad, where financial transparency is now a non-negotiable requirement for all international business operations. The report confirms that specialized Auditor expertise has become the cornerstone of our commercial strategy in this high-potential market.</w:t>
      </w:r>
    </w:p>
    <w:bookmarkEnd w:id="21"/>
    <w:bookmarkStart w:id="22" w:name="X647d89b7ff300bff8bfe83d404c9b30faac6cfe"/>
    <w:p>
      <w:pPr>
        <w:pStyle w:val="Heading2"/>
      </w:pPr>
      <w:r>
        <w:t xml:space="preserve">II. Market Context: Why Baghdad Demands Expert Auditors</w:t>
      </w:r>
    </w:p>
    <w:p>
      <w:pPr>
        <w:pStyle w:val="FirstParagraph"/>
      </w:pPr>
      <w:r>
        <w:t xml:space="preserve">Iraq Baghdad represents a pivotal economic hub where regulatory complexity meets rapid business expansion. Following the 2023 Financial Compliance Act amendments, all foreign-owned enterprises must undergo mandatory annual audits by internationally certified Auditor firms. This legislative shift has created an unprecedented demand for our services. The Baghdad Stock Exchange has grown 27% year-on-year, attracting major energy and infrastructure players who prioritize rigorous financial oversight. As the premier Auditor firm operating in Iraq Baghdad since 2018, we've positioned ourselves as the indispensable partner for companies navigating this new landscape. Our Sales Report confirms that 89% of new enterprise contracts in Baghdad now explicitly require GFSI's Auditor certification.</w:t>
      </w:r>
    </w:p>
    <w:bookmarkEnd w:id="22"/>
    <w:bookmarkStart w:id="23" w:name="Xcc459587b4b2c27b4b319ce211d59c72631be67"/>
    <w:p>
      <w:pPr>
        <w:pStyle w:val="Heading2"/>
      </w:pPr>
      <w:r>
        <w:t xml:space="preserve">III. 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rPr>
          <w:iCs/>
          <w:i/>
        </w:rPr>
        <w:t xml:space="preserve">% Change vs. Previous Year</w:t>
      </w:r>
    </w:p>
    <w:p>
      <w:pPr>
        <w:pStyle w:val="BodyText"/>
      </w:pPr>
      <w:r>
        <w:t xml:space="preserve">Number of New Auditor Contracts Signed</w:t>
      </w:r>
    </w:p>
    <w:p>
      <w:pPr>
        <w:pStyle w:val="BodyText"/>
      </w:pPr>
      <w:r>
        <w:t xml:space="preserve">47</w:t>
      </w:r>
    </w:p>
    <w:p>
      <w:pPr>
        <w:pStyle w:val="BodyText"/>
      </w:pPr>
      <w:r>
        <w:t xml:space="preserve">35</w:t>
      </w:r>
    </w:p>
    <w:p>
      <w:pPr>
        <w:pStyle w:val="BodyText"/>
      </w:pPr>
      <w:r>
        <w:t xml:space="preserve">+34.3%</w:t>
      </w:r>
    </w:p>
    <w:p>
      <w:pPr>
        <w:pStyle w:val="BodyText"/>
      </w:pPr>
      <w:r>
        <w:t xml:space="preserve">Total Revenue from Audit Services</w:t>
      </w:r>
    </w:p>
    <w:p>
      <w:pPr>
        <w:pStyle w:val="BodyText"/>
      </w:pPr>
      <w:r>
        <w:t xml:space="preserve">$1,820,000</w:t>
      </w:r>
    </w:p>
    <w:p>
      <w:pPr>
        <w:pStyle w:val="BodyText"/>
      </w:pPr>
      <w:r>
        <w:t xml:space="preserve">&lt;</w:t>
      </w:r>
    </w:p>
    <w:p>
      <w:pPr>
        <w:pStyle w:val="BodyText"/>
      </w:pPr>
      <w:r>
        <w:t xml:space="preserve">$1,360,000</w:t>
      </w:r>
    </w:p>
    <w:p>
      <w:pPr>
        <w:pStyle w:val="BodyText"/>
      </w:pPr>
      <w:r>
        <w:t xml:space="preserve">+34.9%</w:t>
      </w:r>
    </w:p>
    <w:p>
      <w:pPr>
        <w:pStyle w:val="BodyText"/>
      </w:pPr>
      <w:r>
        <w:t xml:space="preserve">Client Retention Rate for Auditor Services</w:t>
      </w:r>
    </w:p>
    <w:p>
      <w:pPr>
        <w:pStyle w:val="BodyText"/>
      </w:pPr>
      <w:r>
        <w:t xml:space="preserve">92%</w:t>
      </w:r>
    </w:p>
    <w:p>
      <w:pPr>
        <w:pStyle w:val="BodyText"/>
      </w:pPr>
      <w:r>
        <w:t xml:space="preserve">85%</w:t>
      </w:r>
    </w:p>
    <w:p>
      <w:pPr>
        <w:pStyle w:val="BodyText"/>
      </w:pPr>
      <w:r>
        <w:t xml:space="preserve">+7.0%</w:t>
      </w:r>
    </w:p>
    <w:p>
      <w:pPr>
        <w:pStyle w:val="BodyText"/>
      </w:pPr>
      <w:r>
        <w:t xml:space="preserve">New Enterprise Clients Acquired</w:t>
      </w:r>
    </w:p>
    <w:p>
      <w:pPr>
        <w:pStyle w:val="BodyText"/>
      </w:pPr>
      <w:r>
        <w:t xml:space="preserve">&lt;</w:t>
      </w:r>
    </w:p>
    <w:p>
      <w:pPr>
        <w:pStyle w:val="BodyText"/>
      </w:pPr>
      <w:r>
        <w:t xml:space="preserve">19</w:t>
      </w:r>
    </w:p>
    <w:p>
      <w:pPr>
        <w:pStyle w:val="BodyText"/>
      </w:pPr>
      <w:r>
        <w:t xml:space="preserve">14</w:t>
      </w:r>
    </w:p>
    <w:p>
      <w:pPr>
        <w:pStyle w:val="BodyText"/>
      </w:pPr>
      <w:r>
        <w:t xml:space="preserve">The Sales Report reveals a remarkable trend: Baghdad-based clients now represent 68% of our total regional Auditor service revenue, up from 52% in 2022. Notable wins include the $350,000 contract with Basra Oil Consortium for their integrated financial audit and the $415,000 multi-year agreement with Al-Mansour Infrastructure Group. These deals were secured through our dedicated Baghdad-based Auditor team's deep understanding of local banking regulations and oil sector compliance frameworks.</w:t>
      </w:r>
    </w:p>
    <w:bookmarkEnd w:id="23"/>
    <w:bookmarkStart w:id="24" w:name="X70d06382ba9a3d207515927fc0fc30369624db6"/>
    <w:p>
      <w:pPr>
        <w:pStyle w:val="Heading2"/>
      </w:pPr>
      <w:r>
        <w:t xml:space="preserve">IV. Strategic Sales Initiatives Driving Growth</w:t>
      </w:r>
    </w:p>
    <w:p>
      <w:pPr>
        <w:pStyle w:val="FirstParagraph"/>
      </w:pPr>
      <w:r>
        <w:t xml:space="preserve">Our success stems from three targeted strategies specifically designed for the Iraq Baghdad market:</w:t>
      </w:r>
    </w:p>
    <w:p>
      <w:pPr>
        <w:numPr>
          <w:ilvl w:val="0"/>
          <w:numId w:val="1001"/>
        </w:numPr>
        <w:pStyle w:val="Compact"/>
      </w:pPr>
      <w:r>
        <w:rPr>
          <w:bCs/>
          <w:b/>
        </w:rPr>
        <w:t xml:space="preserve">Cultural Intelligence Integration:</w:t>
      </w:r>
      <w:r>
        <w:t xml:space="preserve"> </w:t>
      </w:r>
      <w:r>
        <w:t xml:space="preserve">All Sales Representatives undergo mandatory cultural training on Iraqi business etiquette, with dedicated bilingual (Arabic/English) Auditor liaisons assigned to each major client. This has reduced onboarding time by 37% and increased client satisfaction scores by 28 points.</w:t>
      </w:r>
    </w:p>
    <w:p>
      <w:pPr>
        <w:numPr>
          <w:ilvl w:val="0"/>
          <w:numId w:val="1001"/>
        </w:numPr>
        <w:pStyle w:val="Compact"/>
      </w:pPr>
      <w:r>
        <w:rPr>
          <w:bCs/>
          <w:b/>
        </w:rPr>
        <w:t xml:space="preserve">Regulatory Navigation Program:</w:t>
      </w:r>
      <w:r>
        <w:t xml:space="preserve"> </w:t>
      </w:r>
      <w:r>
        <w:t xml:space="preserve">We developed the "Iraq Compliance Navigator" – a proprietary digital tool that maps all local audit requirements in real-time. This solution, now featured in all Baghdad sales pitches, has become the key differentiator during tender evaluations.</w:t>
      </w:r>
    </w:p>
    <w:bookmarkEnd w:id="24"/>
    <w:bookmarkStart w:id="25" w:name="X87d974fa584489d7902363a162c3b185d68f523"/>
    <w:p>
      <w:pPr>
        <w:pStyle w:val="Heading2"/>
      </w:pPr>
      <w:r>
        <w:t xml:space="preserve">V. Market Challenges &amp; Our Auditor Response</w:t>
      </w:r>
    </w:p>
    <w:p>
      <w:pPr>
        <w:pStyle w:val="FirstParagraph"/>
      </w:pPr>
      <w:r>
        <w:t xml:space="preserve">Operating in Iraq Baghdad presents unique challenges that our Sales Report meticulously addresses:</w:t>
      </w:r>
    </w:p>
    <w:p>
      <w:pPr>
        <w:numPr>
          <w:ilvl w:val="0"/>
          <w:numId w:val="1002"/>
        </w:numPr>
        <w:pStyle w:val="Compact"/>
      </w:pPr>
      <w:r>
        <w:rPr>
          <w:bCs/>
          <w:b/>
        </w:rPr>
        <w:t xml:space="preserve">Regulatory Volatility:</w:t>
      </w:r>
      <w:r>
        <w:t xml:space="preserve"> </w:t>
      </w:r>
      <w:r>
        <w:t xml:space="preserve">Frequent changes in tax laws required our Auditor team to develop a rapid-response protocol. We now provide clients with monthly regulatory update briefings – a service directly requested by 83% of new clients.</w:t>
      </w:r>
    </w:p>
    <w:p>
      <w:pPr>
        <w:numPr>
          <w:ilvl w:val="0"/>
          <w:numId w:val="1002"/>
        </w:numPr>
        <w:pStyle w:val="Compact"/>
      </w:pPr>
      <w:r>
        <w:rPr>
          <w:bCs/>
          <w:b/>
        </w:rPr>
        <w:t xml:space="preserve">Infrastructure Limitations:</w:t>
      </w:r>
      <w:r>
        <w:t xml:space="preserve"> </w:t>
      </w:r>
      <w:r>
        <w:t xml:space="preserve">Inconsistent internet connectivity in certain Baghdad districts led to the implementation of offline audit tools accessible via secure mobile applications. This solution increased our field auditor productivity by 41%.</w:t>
      </w:r>
    </w:p>
    <w:p>
      <w:pPr>
        <w:numPr>
          <w:ilvl w:val="0"/>
          <w:numId w:val="1002"/>
        </w:numPr>
        <w:pStyle w:val="Compact"/>
      </w:pPr>
      <w:r>
        <w:rPr>
          <w:bCs/>
          <w:b/>
        </w:rPr>
        <w:t xml:space="preserve">Security Concerns:</w:t>
      </w:r>
      <w:r>
        <w:t xml:space="preserve"> </w:t>
      </w:r>
      <w:r>
        <w:t xml:space="preserve">We partnered with local security firms to implement verified access protocols for all on-site Auditor activities. This initiative has eliminated client security objections that previously delayed 23% of potential contracts.</w:t>
      </w:r>
    </w:p>
    <w:bookmarkEnd w:id="25"/>
    <w:bookmarkStart w:id="26" w:name="X313e28eac3eed4c13acb9e0f89e0e51f5b31ebc"/>
    <w:p>
      <w:pPr>
        <w:pStyle w:val="Heading2"/>
      </w:pPr>
      <w:r>
        <w:t xml:space="preserve">VI. Future Outlook: Growth Trajectory in Iraq Baghdad</w:t>
      </w:r>
    </w:p>
    <w:p>
      <w:pPr>
        <w:pStyle w:val="FirstParagraph"/>
      </w:pPr>
      <w:r>
        <w:t xml:space="preserve">The Sales Report projects continued momentum, with Baghdad expected to account for 75% of GFSI's Middle East Audit revenue by Q4 2024. Key growth catalysts include:</w:t>
      </w:r>
    </w:p>
    <w:p>
      <w:pPr>
        <w:numPr>
          <w:ilvl w:val="0"/>
          <w:numId w:val="1003"/>
        </w:numPr>
        <w:pStyle w:val="Compact"/>
      </w:pPr>
      <w:r>
        <w:t xml:space="preserve">Upcoming Federal Procurement Guidelines mandating third-party Auditor certification for all government contracts</w:t>
      </w:r>
    </w:p>
    <w:p>
      <w:pPr>
        <w:numPr>
          <w:ilvl w:val="0"/>
          <w:numId w:val="1003"/>
        </w:numPr>
        <w:pStyle w:val="Compact"/>
      </w:pPr>
      <w:r>
        <w:t xml:space="preserve">Expansion of Baghdad's new International Financial Center, projected to require 150+ certified Auditor engagements by 2025</w:t>
      </w:r>
    </w:p>
    <w:p>
      <w:pPr>
        <w:numPr>
          <w:ilvl w:val="0"/>
          <w:numId w:val="1003"/>
        </w:numPr>
        <w:pStyle w:val="Compact"/>
      </w:pPr>
      <w:r>
        <w:t xml:space="preserve">Increasing demand from regional headquarters establishing Iraq operations to comply with global ESG standards</w:t>
      </w:r>
    </w:p>
    <w:p>
      <w:pPr>
        <w:pStyle w:val="FirstParagraph"/>
      </w:pPr>
      <w:r>
        <w:t xml:space="preserve">Our strategic focus for Q4 includes launching a specialized "Baghdad Regulatory Compliance Certificate" program, designed specifically for local business owners. This initiative will be our primary sales driver in the coming quarter, targeting 30 new contracts through partnerships with Baghdad Chamber of Commerce and Iraqi Ministry of Finance workshops.</w:t>
      </w:r>
    </w:p>
    <w:bookmarkEnd w:id="26"/>
    <w:bookmarkStart w:id="27" w:name="X45165f9c9a776ba331cf086e79b417fdcba1854"/>
    <w:p>
      <w:pPr>
        <w:pStyle w:val="Heading2"/>
      </w:pPr>
      <w:r>
        <w:t xml:space="preserve">VII. Conclusion: The Critical Role of Auditor Services in Iraq Baghdad</w:t>
      </w:r>
    </w:p>
    <w:p>
      <w:pPr>
        <w:pStyle w:val="FirstParagraph"/>
      </w:pPr>
      <w:r>
        <w:t xml:space="preserve">This Sales Report unequivocally demonstrates that Auditor services have evolved from a compliance necessity to the central pillar of business success in Iraq Baghdad. The data confirms that companies using our certified Auditor services achieve 33% faster regulatory approvals and report 54% higher investor confidence scores. As the market matures, we anticipate this demand will intensify, making our Baghdad-based Auditor operations not just profitable but strategically essential for GFSI's global footprint.</w:t>
      </w:r>
    </w:p>
    <w:p>
      <w:pPr>
        <w:pStyle w:val="BodyText"/>
      </w:pPr>
      <w:r>
        <w:t xml:space="preserve">In conclusion: The Iraq Baghdad market has become the undisputed epicenter of our Audit services growth story. Our Sales Report provides irrefutable evidence that investing in local Auditor expertise delivers exponential returns. We recommend doubling down on our Baghdad operations, with a specific allocation of 40% of regional sales resources to this market through Q2 2024. The path forward is clear – the future belongs to those who deliver compliant, culturally attuned Auditor solutions where it matters most: in the heart of Iraq Baghdad.</w:t>
      </w:r>
    </w:p>
    <w:p>
      <w:pPr>
        <w:pStyle w:val="BodyText"/>
      </w:pPr>
      <w:r>
        <w:rPr>
          <w:bCs/>
          <w:b/>
        </w:rPr>
        <w:t xml:space="preserve">Appendix A</w:t>
      </w:r>
      <w:r>
        <w:t xml:space="preserve">: Full Quarterly Sales Data by Client Sector (Baghdad Operations)</w:t>
      </w:r>
    </w:p>
    <w:p>
      <w:pPr>
        <w:pStyle w:val="BodyText"/>
      </w:pPr>
      <w:r>
        <w:rPr>
          <w:bCs/>
          <w:b/>
        </w:rPr>
        <w:t xml:space="preserve">Appendix B</w:t>
      </w:r>
      <w:r>
        <w:t xml:space="preserve">: Client Testimonials from Baghdad-based Enterprises (Including Signed Letters of Recommendation)</w:t>
      </w:r>
    </w:p>
    <w:p>
      <w:r>
        <w:pict>
          <v:rect style="width:0;height:1.5pt" o:hralign="center" o:hrstd="t" o:hr="t"/>
        </w:pict>
      </w:r>
    </w:p>
    <w:p>
      <w:pPr>
        <w:pStyle w:val="FirstParagraph"/>
      </w:pPr>
      <w:r>
        <w:t xml:space="preserve">Global Financial Solutions International | 2023 Sales Report Confidentiality Notice: This document contains proprietary sales information exclusively for GFSI executive use.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Services in Iraq Baghdad</dc:title>
  <dc:creator/>
  <dc:language>en</dc:language>
  <cp:keywords/>
  <dcterms:created xsi:type="dcterms:W3CDTF">2026-07-21T11:17:31Z</dcterms:created>
  <dcterms:modified xsi:type="dcterms:W3CDTF">2026-07-21T11:17:31Z</dcterms:modified>
</cp:coreProperties>
</file>

<file path=docProps/custom.xml><?xml version="1.0" encoding="utf-8"?>
<Properties xmlns="http://schemas.openxmlformats.org/officeDocument/2006/custom-properties" xmlns:vt="http://schemas.openxmlformats.org/officeDocument/2006/docPropsVTypes"/>
</file>