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&amp;</w:t>
      </w:r>
      <w:r>
        <w:t xml:space="preserve"> </w:t>
      </w:r>
      <w:r>
        <w:t xml:space="preserve">Market</w:t>
      </w:r>
      <w:r>
        <w:t xml:space="preserve"> </w:t>
      </w:r>
      <w:r>
        <w:t xml:space="preserve">Analysis</w:t>
      </w:r>
      <w:r>
        <w:t xml:space="preserve"> </w:t>
      </w:r>
      <w:r>
        <w:t xml:space="preserve">-</w:t>
      </w:r>
      <w:r>
        <w:t xml:space="preserve"> </w:t>
      </w:r>
      <w:r>
        <w:t xml:space="preserve">Japan</w:t>
      </w:r>
      <w:r>
        <w:t xml:space="preserve"> </w:t>
      </w:r>
      <w:r>
        <w:t xml:space="preserve">Osaka</w:t>
      </w:r>
    </w:p>
    <w:bookmarkStart w:id="28" w:name="X2703c2ec2f137f36895bb6f13085bc7e8cce51e"/>
    <w:p>
      <w:pPr>
        <w:pStyle w:val="Heading1"/>
      </w:pPr>
      <w:r>
        <w:t xml:space="preserve">Annual Sales Report: Comprehensive Audit of Sales Performance in Japan Osaka</w:t>
      </w:r>
    </w:p>
    <w:bookmarkStart w:id="20" w:name="executive-summary"/>
    <w:p>
      <w:pPr>
        <w:pStyle w:val="Heading2"/>
      </w:pPr>
      <w:r>
        <w:t xml:space="preserve">Executive Summary</w:t>
      </w:r>
    </w:p>
    <w:p>
      <w:pPr>
        <w:pStyle w:val="FirstParagraph"/>
      </w:pPr>
      <w:r>
        <w:t xml:space="preserve">This document presents the definitive annual sales audit report for the Japan Osaka market, conducted by our certified internal auditor team. The comprehensive analysis covers Q1 2023–Q4 2023 performance, revealing a 14.7% year-over-year growth in Osaka sales revenue despite regional economic headwinds. The Auditor's findings confirm exceptional market penetration strategies and compliance adherence across all Osaka branches. Critical insights from this audit directly inform our strategic expansion plans for the Japanese market, with Osaka remaining the cornerstone of our Asia-Pacific sales operations.</w:t>
      </w:r>
    </w:p>
    <w:bookmarkEnd w:id="20"/>
    <w:bookmarkStart w:id="21" w:name="X4d28111ff68d5e9dd023e70d4334bc63e1dcb3e"/>
    <w:p>
      <w:pPr>
        <w:pStyle w:val="Heading2"/>
      </w:pPr>
      <w:r>
        <w:t xml:space="preserve">Methodology: Auditor's Analytical Framework</w:t>
      </w:r>
    </w:p>
    <w:p>
      <w:pPr>
        <w:pStyle w:val="FirstParagraph"/>
      </w:pPr>
      <w:r>
        <w:t xml:space="preserve">Our Japan Osaka Sales Audit employed a triple-layered verification system:</w:t>
      </w:r>
    </w:p>
    <w:p>
      <w:pPr>
        <w:numPr>
          <w:ilvl w:val="0"/>
          <w:numId w:val="1001"/>
        </w:numPr>
        <w:pStyle w:val="Compact"/>
      </w:pPr>
      <w:r>
        <w:rPr>
          <w:bCs/>
          <w:b/>
        </w:rPr>
        <w:t xml:space="preserve">Data Integrity Verification:</w:t>
      </w:r>
      <w:r>
        <w:t xml:space="preserve"> </w:t>
      </w:r>
      <w:r>
        <w:t xml:space="preserve">Cross-referenced 18,500+ sales transactions against ERP systems (SAP S/4HANA)</w:t>
      </w:r>
    </w:p>
    <w:p>
      <w:pPr>
        <w:numPr>
          <w:ilvl w:val="0"/>
          <w:numId w:val="1001"/>
        </w:numPr>
        <w:pStyle w:val="Compact"/>
      </w:pPr>
      <w:r>
        <w:rPr>
          <w:bCs/>
          <w:b/>
        </w:rPr>
        <w:t xml:space="preserve">Compliance Audit:</w:t>
      </w:r>
      <w:r>
        <w:t xml:space="preserve"> </w:t>
      </w:r>
      <w:r>
        <w:t xml:space="preserve">Validated adherence to Japan's Act on Specified Commercial Transactions and Osaka Prefecture tax regulations</w:t>
      </w:r>
    </w:p>
    <w:p>
      <w:pPr>
        <w:numPr>
          <w:ilvl w:val="0"/>
          <w:numId w:val="1001"/>
        </w:numPr>
        <w:pStyle w:val="Compact"/>
      </w:pPr>
      <w:r>
        <w:rPr>
          <w:bCs/>
          <w:b/>
        </w:rPr>
        <w:t xml:space="preserve">Market Context Analysis:</w:t>
      </w:r>
      <w:r>
        <w:t xml:space="preserve"> </w:t>
      </w:r>
      <w:r>
        <w:t xml:space="preserve">Integrated with local economic indicators from Osaka Metropolitan Bureau of Statistics</w:t>
      </w:r>
    </w:p>
    <w:p>
      <w:pPr>
        <w:pStyle w:val="FirstParagraph"/>
      </w:pPr>
      <w:r>
        <w:t xml:space="preserve">The Auditor utilized AI-powered analytics tools (customized for Japanese business protocols) to identify patterns invisible through conventional reporting. This approach ensured 99.8% data accuracy—significantly above industry benchmarks.</w:t>
      </w:r>
    </w:p>
    <w:bookmarkEnd w:id="21"/>
    <w:bookmarkStart w:id="22" w:name="X42426ee582748384abd9ac77c0d98240a27d0aa"/>
    <w:p>
      <w:pPr>
        <w:pStyle w:val="Heading2"/>
      </w:pPr>
      <w:r>
        <w:t xml:space="preserve">Osaka Sales Performance: Key Metrics (Q1–Q4 2023)</w:t>
      </w:r>
    </w:p>
    <w:p>
      <w:pPr>
        <w:pStyle w:val="FirstParagraph"/>
      </w:pPr>
      <w:r>
        <w:t xml:space="preserve">Quarter</w:t>
      </w:r>
    </w:p>
    <w:p>
      <w:pPr>
        <w:pStyle w:val="BodyText"/>
      </w:pPr>
      <w:r>
        <w:t xml:space="preserve">Sales Revenue (JPY)</w:t>
      </w:r>
    </w:p>
    <w:p>
      <w:pPr>
        <w:pStyle w:val="BodyText"/>
      </w:pPr>
      <w:r>
        <w:t xml:space="preserve">YoY Growth</w:t>
      </w:r>
    </w:p>
    <w:p>
      <w:pPr>
        <w:pStyle w:val="BodyText"/>
      </w:pPr>
      <w:r>
        <w:t xml:space="preserve">Market Share Gain</w:t>
      </w:r>
    </w:p>
    <w:p>
      <w:pPr>
        <w:pStyle w:val="BodyText"/>
      </w:pPr>
      <w:r>
        <w:t xml:space="preserve">Q1 2023</w:t>
      </w:r>
    </w:p>
    <w:p>
      <w:pPr>
        <w:pStyle w:val="BodyText"/>
      </w:pPr>
      <w:r>
        <w:t xml:space="preserve">¥482,500,000</w:t>
      </w:r>
    </w:p>
    <w:p>
      <w:pPr>
        <w:pStyle w:val="BodyText"/>
      </w:pPr>
      <w:r>
        <w:t xml:space="preserve">+8.3%</w:t>
      </w:r>
    </w:p>
    <w:p>
      <w:pPr>
        <w:pStyle w:val="BodyText"/>
      </w:pPr>
      <w:r>
        <w:t xml:space="preserve">+1.7%</w:t>
      </w:r>
    </w:p>
    <w:p>
      <w:pPr>
        <w:pStyle w:val="BodyText"/>
      </w:pPr>
      <w:r>
        <w:t xml:space="preserve">Q2 2023</w:t>
      </w:r>
    </w:p>
    <w:p>
      <w:pPr>
        <w:pStyle w:val="BodyText"/>
      </w:pPr>
      <w:r>
        <w:t xml:space="preserve">¥517,900,000+12.6%+2.4%</w:t>
      </w:r>
    </w:p>
    <w:p>
      <w:pPr>
        <w:pStyle w:val="BodyText"/>
      </w:pPr>
      <w:r>
        <w:t xml:space="preserve">Q3 2023</w:t>
      </w:r>
    </w:p>
    <w:p>
      <w:pPr>
        <w:pStyle w:val="BodyText"/>
      </w:pPr>
      <w:r>
        <w:t xml:space="preserve">¥548,300,000</w:t>
      </w:r>
    </w:p>
    <w:p>
      <w:pPr>
        <w:pStyle w:val="BodyText"/>
      </w:pPr>
      <w:r>
        <w:t xml:space="preserve">+16.9%</w:t>
      </w:r>
    </w:p>
    <w:p>
      <w:pPr>
        <w:pStyle w:val="BodyText"/>
      </w:pPr>
      <w:r>
        <w:t xml:space="preserve">+3.1%</w:t>
      </w:r>
    </w:p>
    <w:p>
      <w:pPr>
        <w:pStyle w:val="BodyText"/>
      </w:pPr>
      <w:r>
        <w:t xml:space="preserve">Q4 2023</w:t>
      </w:r>
    </w:p>
    <w:p>
      <w:pPr>
        <w:pStyle w:val="BodyText"/>
      </w:pPr>
      <w:r>
        <w:t xml:space="preserve">¥624,750,000</w:t>
      </w:r>
    </w:p>
    <w:p>
      <w:pPr>
        <w:pStyle w:val="BodyText"/>
      </w:pPr>
      <w:r>
        <w:t xml:space="preserve">+18.2%</w:t>
      </w:r>
    </w:p>
    <w:p>
      <w:pPr>
        <w:pStyle w:val="BodyText"/>
      </w:pPr>
      <w:r>
        <w:t xml:space="preserve">+4.3%</w:t>
      </w:r>
    </w:p>
    <w:p>
      <w:pPr>
        <w:pStyle w:val="BodyText"/>
      </w:pPr>
      <w:r>
        <w:t xml:space="preserve">The Auditor's analysis identified Osaka's Q4 surge as driven by two factors: (1) Successful implementation of our "Osaka Loyalty Program" targeting 50+ corporate clients, and (2) Strategic partnerships with key Osaka industrial clusters like the Kobe-Osaka Advanced Manufacturing Zone. Notably, the sales team achieved a 98% customer retention rate—surpassing the Japan national average by 17 percentage points.</w:t>
      </w:r>
    </w:p>
    <w:bookmarkEnd w:id="22"/>
    <w:bookmarkStart w:id="23" w:name="X4ebc5c8224b69fb6644c8c6c87e240dcae5203f"/>
    <w:p>
      <w:pPr>
        <w:pStyle w:val="Heading2"/>
      </w:pPr>
      <w:r>
        <w:t xml:space="preserve">Market-Specific Insights: Japan Osaka Context</w:t>
      </w:r>
    </w:p>
    <w:p>
      <w:pPr>
        <w:pStyle w:val="FirstParagraph"/>
      </w:pPr>
      <w:r>
        <w:t xml:space="preserve">As confirmed in our Auditor's report, Osaka's unique commercial ecosystem demands hyper-localized strategies. The city's "Osaka Bunka" (cultural) business etiquette requires:</w:t>
      </w:r>
    </w:p>
    <w:p>
      <w:pPr>
        <w:numPr>
          <w:ilvl w:val="0"/>
          <w:numId w:val="1002"/>
        </w:numPr>
        <w:pStyle w:val="Compact"/>
      </w:pPr>
      <w:r>
        <w:rPr>
          <w:bCs/>
          <w:b/>
        </w:rPr>
        <w:t xml:space="preserve">Dedicated Japanese-speaking sales teams:</w:t>
      </w:r>
      <w:r>
        <w:t xml:space="preserve"> </w:t>
      </w:r>
      <w:r>
        <w:t xml:space="preserve">100% of Osaka client interactions conducted bilingually</w:t>
      </w:r>
    </w:p>
    <w:p>
      <w:pPr>
        <w:numPr>
          <w:ilvl w:val="0"/>
          <w:numId w:val="1002"/>
        </w:numPr>
        <w:pStyle w:val="Compact"/>
      </w:pPr>
      <w:r>
        <w:rPr>
          <w:bCs/>
          <w:b/>
        </w:rPr>
        <w:t xml:space="preserve">Regional compliance protocols:</w:t>
      </w:r>
      <w:r>
        <w:t xml:space="preserve"> </w:t>
      </w:r>
      <w:r>
        <w:t xml:space="preserve">Adaptation of contracts to Osaka Prefecture's unique commercial codes</w:t>
      </w:r>
    </w:p>
    <w:p>
      <w:pPr>
        <w:numPr>
          <w:ilvl w:val="0"/>
          <w:numId w:val="1002"/>
        </w:numPr>
        <w:pStyle w:val="Compact"/>
      </w:pPr>
      <w:r>
        <w:rPr>
          <w:bCs/>
          <w:b/>
        </w:rPr>
        <w:t xml:space="preserve">Cultural nuance integration:</w:t>
      </w:r>
      <w:r>
        <w:t xml:space="preserve"> </w:t>
      </w:r>
      <w:r>
        <w:t xml:space="preserve">Sales materials incorporating Osaka-specific references (e.g., Dotonbori district imagery in marketing)</w:t>
      </w:r>
    </w:p>
    <w:p>
      <w:pPr>
        <w:pStyle w:val="FirstParagraph"/>
      </w:pPr>
      <w:r>
        <w:t xml:space="preserve">The Auditor documented that these localized approaches directly contributed to a 31% higher average transaction value versus other Japanese markets. Furthermore, our Osaka sales team achieved 94% compliance with Japan's Consumer Affairs Agency's "Fair Sales Guidelines" during the annual audit—ranking us among Japan's top 5 compliant multinational sales teams.</w:t>
      </w:r>
    </w:p>
    <w:bookmarkEnd w:id="23"/>
    <w:bookmarkStart w:id="24" w:name="X4a35e3de84e7cf8e0b2165e7ff8c30c08c0effb"/>
    <w:p>
      <w:pPr>
        <w:pStyle w:val="Heading2"/>
      </w:pPr>
      <w:r>
        <w:t xml:space="preserve">Critical Challenges Identified by the Auditor</w:t>
      </w:r>
    </w:p>
    <w:p>
      <w:pPr>
        <w:pStyle w:val="FirstParagraph"/>
      </w:pPr>
      <w:r>
        <w:t xml:space="preserve">The comprehensive Japan Osaka Sales Audit uncovered three pivotal challenges requiring immediate action:</w:t>
      </w:r>
    </w:p>
    <w:p>
      <w:pPr>
        <w:numPr>
          <w:ilvl w:val="0"/>
          <w:numId w:val="1003"/>
        </w:numPr>
        <w:pStyle w:val="Compact"/>
      </w:pPr>
      <w:r>
        <w:rPr>
          <w:bCs/>
          <w:b/>
        </w:rPr>
        <w:t xml:space="preserve">Supply Chain Fragmentation:</w:t>
      </w:r>
      <w:r>
        <w:t xml:space="preserve"> </w:t>
      </w:r>
      <w:r>
        <w:t xml:space="preserve">18% of Osaka deliveries delayed due to Osaka Bay port congestion. The Auditor recommended establishing a dedicated logistics hub in Kansai Free Trade Zone.</w:t>
      </w:r>
    </w:p>
    <w:p>
      <w:pPr>
        <w:numPr>
          <w:ilvl w:val="0"/>
          <w:numId w:val="1003"/>
        </w:numPr>
        <w:pStyle w:val="Compact"/>
      </w:pPr>
      <w:r>
        <w:rPr>
          <w:bCs/>
          <w:b/>
        </w:rPr>
        <w:t xml:space="preserve">Cultural Misalignment in CRM:</w:t>
      </w:r>
      <w:r>
        <w:t xml:space="preserve"> </w:t>
      </w:r>
      <w:r>
        <w:t xml:space="preserve">23% of sales leads lost due to automated English-language follow-ups. The Auditor mandated full Japanese CRM customization for Osaka operations.</w:t>
      </w:r>
    </w:p>
    <w:p>
      <w:pPr>
        <w:numPr>
          <w:ilvl w:val="0"/>
          <w:numId w:val="1003"/>
        </w:numPr>
        <w:pStyle w:val="Compact"/>
      </w:pPr>
      <w:r>
        <w:rPr>
          <w:bCs/>
          <w:b/>
        </w:rPr>
        <w:t xml:space="preserve">Competitive Pressure:</w:t>
      </w:r>
      <w:r>
        <w:t xml:space="preserve"> </w:t>
      </w:r>
      <w:r>
        <w:t xml:space="preserve">Local competitor "Osaka Tech Solutions" undercut prices by 7% in Q3. The Auditor advised implementing our "Value-Plus Pricing Model" tailored to Osaka's manufacturing sector.</w:t>
      </w:r>
    </w:p>
    <w:p>
      <w:pPr>
        <w:pStyle w:val="FirstParagraph"/>
      </w:pPr>
      <w:r>
        <w:t xml:space="preserve">Critically, the Auditor verified that all identified challenges were resolved through Osaka-specific interventions before year-end—preventing potential revenue leakage of ¥210M.</w:t>
      </w:r>
    </w:p>
    <w:bookmarkEnd w:id="24"/>
    <w:bookmarkStart w:id="25" w:name="X271e88263929904bd9da48f8324e785196d6666"/>
    <w:p>
      <w:pPr>
        <w:pStyle w:val="Heading2"/>
      </w:pPr>
      <w:r>
        <w:t xml:space="preserve">The Auditor's Strategic Recommendations for Japan Osaka</w:t>
      </w:r>
    </w:p>
    <w:p>
      <w:pPr>
        <w:pStyle w:val="FirstParagraph"/>
      </w:pPr>
      <w:r>
        <w:t xml:space="preserve">Based on this rigorous sales audit, we propose these actionable recommendations:</w:t>
      </w:r>
    </w:p>
    <w:p>
      <w:pPr>
        <w:numPr>
          <w:ilvl w:val="0"/>
          <w:numId w:val="1004"/>
        </w:numPr>
        <w:pStyle w:val="Compact"/>
      </w:pPr>
      <w:r>
        <w:rPr>
          <w:bCs/>
          <w:b/>
        </w:rPr>
        <w:t xml:space="preserve">Osaka Regional Innovation Fund:</w:t>
      </w:r>
      <w:r>
        <w:t xml:space="preserve"> </w:t>
      </w:r>
      <w:r>
        <w:t xml:space="preserve">Allocate ¥50M for Osaka-specific R&amp;D targeting local industry needs (e.g., robotics components for Osaka's manufacturing cluster)</w:t>
      </w:r>
    </w:p>
    <w:p>
      <w:pPr>
        <w:numPr>
          <w:ilvl w:val="0"/>
          <w:numId w:val="1004"/>
        </w:numPr>
        <w:pStyle w:val="Compact"/>
      </w:pPr>
      <w:r>
        <w:rPr>
          <w:bCs/>
          <w:b/>
        </w:rPr>
        <w:t xml:space="preserve">Compliance Ambassador Program:</w:t>
      </w:r>
      <w:r>
        <w:t xml:space="preserve"> </w:t>
      </w:r>
      <w:r>
        <w:t xml:space="preserve">Train 20 Osaka sales personnel as Japan regulatory specialists to preempt audit risks</w:t>
      </w:r>
    </w:p>
    <w:p>
      <w:pPr>
        <w:numPr>
          <w:ilvl w:val="0"/>
          <w:numId w:val="1004"/>
        </w:numPr>
        <w:pStyle w:val="Compact"/>
      </w:pPr>
      <w:r>
        <w:rPr>
          <w:bCs/>
          <w:b/>
        </w:rPr>
        <w:t xml:space="preserve">Cultural Intelligence Dashboard:</w:t>
      </w:r>
      <w:r>
        <w:t xml:space="preserve"> </w:t>
      </w:r>
      <w:r>
        <w:t xml:space="preserve">Implement AI tool tracking Osaka-specific business etiquette metrics (e.g., meeting punctuality, gift-giving protocols)</w:t>
      </w:r>
    </w:p>
    <w:p>
      <w:pPr>
        <w:pStyle w:val="FirstParagraph"/>
      </w:pPr>
      <w:r>
        <w:t xml:space="preserve">The Auditor emphasized that these initiatives directly address Osaka's market dynamics. For instance, the Cultural Intelligence Dashboard will prevent future compliance issues—reducing audit preparation time by 40% as validated in our pilot program.</w:t>
      </w:r>
    </w:p>
    <w:bookmarkEnd w:id="25"/>
    <w:bookmarkStart w:id="27" w:name="conclusion-the-auditors-final-assessment"/>
    <w:p>
      <w:pPr>
        <w:pStyle w:val="Heading2"/>
      </w:pPr>
      <w:r>
        <w:t xml:space="preserve">Conclusion: The Auditor's Final Assessment</w:t>
      </w:r>
    </w:p>
    <w:p>
      <w:pPr>
        <w:pStyle w:val="FirstParagraph"/>
      </w:pPr>
      <w:r>
        <w:t xml:space="preserve">This Japan Osaka Sales Report confirms that our Osaka operations are not merely profitable but setting industry benchmarks for market-specific sales excellence. The Auditor's verification process—conducted with full adherence to Japanese corporate governance standards (including Shōwa-era business ethics protocols)—has cemented our position as a trusted commercial partner in Osaka.</w:t>
      </w:r>
    </w:p>
    <w:p>
      <w:pPr>
        <w:pStyle w:val="BodyText"/>
      </w:pPr>
      <w:r>
        <w:t xml:space="preserve">As the Auditor concludes: "Osaka's sales performance demonstrates how localized compliance, cultural intelligence, and data-driven strategy can transform regional markets. The 14.7% growth is not accidental—it is the result of systemic excellence." This report will serve as the foundation for our FY2024 strategic plan in Japan, with Osaka designated as our primary growth engine for the Asia-Pacific region.</w:t>
      </w:r>
    </w:p>
    <w:p>
      <w:pPr>
        <w:pStyle w:val="BodyText"/>
      </w:pPr>
      <w:r>
        <w:t xml:space="preserve">For all stakeholders requiring deeper insight into Japan Osaka's sales performance, we invite consultation with our certified Auditor team. The complete audit dossier—complying with all Japanese financial reporting standards (J-GAAP)—is available via our secure Osaka data portal (access code: AUDITOR-JP-OSAKA-2023).</w:t>
      </w:r>
    </w:p>
    <w:bookmarkStart w:id="26" w:name="X3ba5f8054dedeab8b3e222b5569747bd1c413ca"/>
    <w:p>
      <w:pPr>
        <w:pStyle w:val="Heading3"/>
      </w:pPr>
      <w:r>
        <w:t xml:space="preserve">Report Authored By: Global Sales Audit Division | Certified Auditor: Kenji Tanaka, CPA Japan</w:t>
      </w:r>
    </w:p>
    <w:p>
      <w:pPr>
        <w:pStyle w:val="FirstParagraph"/>
      </w:pPr>
      <w:r>
        <w:rPr>
          <w:iCs/>
          <w:i/>
        </w:rPr>
        <w:t xml:space="preserve">This Sales Report is exclusively prepared for Japan Osaka operations. All data subject to annual audit verification per Japanese Commercial Code Articles 240–245.</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Performance &amp; Market Analysis - Japan Osaka</dc:title>
  <dc:creator/>
  <dc:language>en</dc:language>
  <cp:keywords/>
  <dcterms:created xsi:type="dcterms:W3CDTF">2026-07-23T01:27:31Z</dcterms:created>
  <dcterms:modified xsi:type="dcterms:W3CDTF">2026-07-23T01:27:31Z</dcterms:modified>
</cp:coreProperties>
</file>

<file path=docProps/custom.xml><?xml version="1.0" encoding="utf-8"?>
<Properties xmlns="http://schemas.openxmlformats.org/officeDocument/2006/custom-properties" xmlns:vt="http://schemas.openxmlformats.org/officeDocument/2006/docPropsVTypes"/>
</file>