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Japan</w:t>
      </w:r>
      <w:r>
        <w:t xml:space="preserve"> </w:t>
      </w:r>
      <w:r>
        <w:t xml:space="preserve">Tokyo</w:t>
      </w:r>
    </w:p>
    <w:bookmarkStart w:id="35" w:name="X205e3c8c2796388dfdf89f8e3ebe30f02339e68"/>
    <w:p>
      <w:pPr>
        <w:pStyle w:val="Heading1"/>
      </w:pPr>
      <w:r>
        <w:t xml:space="preserve">Sales Report: Comprehensive Auditor Performance Analysis for Japan Tokyo Market</w:t>
      </w:r>
    </w:p>
    <w:bookmarkStart w:id="20" w:name="executive-summary"/>
    <w:p>
      <w:pPr>
        <w:pStyle w:val="Heading2"/>
      </w:pPr>
      <w:r>
        <w:t xml:space="preserve">Executive Summary</w:t>
      </w:r>
    </w:p>
    <w:p>
      <w:pPr>
        <w:pStyle w:val="FirstParagraph"/>
      </w:pPr>
      <w:r>
        <w:t xml:space="preserve">This Sales Report presents a detailed analysis of auditor performance across the Japan Tokyo market, evaluating critical sales metrics, compliance adherence, and strategic impact during Q3 2023. As the cornerstone of financial integrity within our sales operations in Tokyo, the Auditor function has demonstrated exceptional value in driving revenue accuracy and regulatory alignment. This report underscores how our dedicated Audit Team has become indispensable to sustaining competitive advantage in one of Asia's most sophisticated commercial environments.</w:t>
      </w:r>
    </w:p>
    <w:bookmarkEnd w:id="20"/>
    <w:bookmarkStart w:id="21" w:name="Xf5d9b1f11debdfdc4d6205725a4d1ad21e82f75"/>
    <w:p>
      <w:pPr>
        <w:pStyle w:val="Heading2"/>
      </w:pPr>
      <w:r>
        <w:t xml:space="preserve">Market Context: Japan Tokyo Sales Landscape</w:t>
      </w:r>
    </w:p>
    <w:p>
      <w:pPr>
        <w:pStyle w:val="FirstParagraph"/>
      </w:pPr>
      <w:r>
        <w:t xml:space="preserve">Tokyo represents the epicenter of our Japan operations, accounting for 68% of the national sales volume with a projected $142M market size this fiscal year. The market demands meticulous compliance due to stringent Japanese Commercial Law (Article 397) and Financial Instruments and Exchange Act regulations. In this high-stakes environment, the Auditor role transcends traditional monitoring—it directly influences client trust, contractual compliance, and revenue recognition precision.</w:t>
      </w:r>
    </w:p>
    <w:bookmarkEnd w:id="21"/>
    <w:bookmarkStart w:id="25" w:name="Xc1a5e9547ab12bdd6c6a28155285f8582a0f2ee"/>
    <w:p>
      <w:pPr>
        <w:pStyle w:val="Heading2"/>
      </w:pPr>
      <w:r>
        <w:t xml:space="preserve">Key Performance Metrics: Auditor-Driven Impact</w:t>
      </w:r>
    </w:p>
    <w:bookmarkStart w:id="22" w:name="revenue-accuracy-enhancement"/>
    <w:p>
      <w:pPr>
        <w:pStyle w:val="Heading3"/>
      </w:pPr>
      <w:r>
        <w:t xml:space="preserve">1. Revenue Accuracy Enhancement</w:t>
      </w:r>
    </w:p>
    <w:p>
      <w:pPr>
        <w:pStyle w:val="FirstParagraph"/>
      </w:pPr>
      <w:r>
        <w:t xml:space="preserve">The Japan Tokyo Audit Team achieved a 99.7% revenue recognition accuracy rate in Q3 2023, up from 96.4% YoY. This was accomplished through:</w:t>
      </w:r>
    </w:p>
    <w:p>
      <w:pPr>
        <w:numPr>
          <w:ilvl w:val="0"/>
          <w:numId w:val="1001"/>
        </w:numPr>
        <w:pStyle w:val="Compact"/>
      </w:pPr>
      <w:r>
        <w:t xml:space="preserve">Real-time contract validation against the Japan Compliance Handbook (JCH-2023)</w:t>
      </w:r>
    </w:p>
    <w:p>
      <w:pPr>
        <w:numPr>
          <w:ilvl w:val="0"/>
          <w:numId w:val="1001"/>
        </w:numPr>
        <w:pStyle w:val="Compact"/>
      </w:pPr>
      <w:r>
        <w:t xml:space="preserve">Automated mismatch alerts for sales terms exceeding permitted margins</w:t>
      </w:r>
    </w:p>
    <w:p>
      <w:pPr>
        <w:numPr>
          <w:ilvl w:val="0"/>
          <w:numId w:val="1001"/>
        </w:numPr>
        <w:pStyle w:val="Compact"/>
      </w:pPr>
      <w:r>
        <w:t xml:space="preserve">Dedicated auditor liaisons embedded with Tokyo's 14 regional sales teams</w:t>
      </w:r>
    </w:p>
    <w:p>
      <w:pPr>
        <w:pStyle w:val="FirstParagraph"/>
      </w:pPr>
      <w:r>
        <w:t xml:space="preserve">The accuracy improvement directly prevented $1.8M in potential revenue leakage from non-compliant pricing structures across automotive and tech sectors.</w:t>
      </w:r>
    </w:p>
    <w:bookmarkEnd w:id="22"/>
    <w:bookmarkStart w:id="23" w:name="compliance-risk-mitigation"/>
    <w:p>
      <w:pPr>
        <w:pStyle w:val="Heading3"/>
      </w:pPr>
      <w:r>
        <w:t xml:space="preserve">2. Compliance Risk Mitigation</w:t>
      </w:r>
    </w:p>
    <w:p>
      <w:pPr>
        <w:pStyle w:val="FirstParagraph"/>
      </w:pPr>
      <w:r>
        <w:t xml:space="preserve">Our Auditor function reduced regulatory breach incidents by 74% compared to Q2, with zero major violations reported to the Financial Services Agency (FSA). Critical interventions included:</w:t>
      </w:r>
    </w:p>
    <w:p>
      <w:pPr>
        <w:numPr>
          <w:ilvl w:val="0"/>
          <w:numId w:val="1002"/>
        </w:numPr>
        <w:pStyle w:val="Compact"/>
      </w:pPr>
      <w:r>
        <w:t xml:space="preserve">Catching a $950K overbilling pattern in enterprise SaaS contracts</w:t>
      </w:r>
    </w:p>
    <w:p>
      <w:pPr>
        <w:numPr>
          <w:ilvl w:val="0"/>
          <w:numId w:val="1002"/>
        </w:numPr>
        <w:pStyle w:val="Compact"/>
      </w:pPr>
      <w:r>
        <w:t xml:space="preserve">Revising 32 sales scripts for compliance with Japan's Act on Specified Commercial Transactions</w:t>
      </w:r>
    </w:p>
    <w:p>
      <w:pPr>
        <w:numPr>
          <w:ilvl w:val="0"/>
          <w:numId w:val="1002"/>
        </w:numPr>
        <w:pStyle w:val="Compact"/>
      </w:pPr>
      <w:r>
        <w:t xml:space="preserve">Training 108 Tokyo-based sales representatives on new tax reporting protocols</w:t>
      </w:r>
    </w:p>
    <w:bookmarkEnd w:id="23"/>
    <w:bookmarkStart w:id="24" w:name="sales-cycle-efficiency-gains"/>
    <w:p>
      <w:pPr>
        <w:pStyle w:val="Heading3"/>
      </w:pPr>
      <w:r>
        <w:t xml:space="preserve">3. Sales Cycle Efficiency Gains</w:t>
      </w:r>
    </w:p>
    <w:p>
      <w:pPr>
        <w:pStyle w:val="FirstParagraph"/>
      </w:pPr>
      <w:r>
        <w:t xml:space="preserve">Contrary to misconceptions that audits slow sales, Tokyo's Auditor Team accelerated deal closure by 22% through:</w:t>
      </w:r>
    </w:p>
    <w:p>
      <w:pPr>
        <w:numPr>
          <w:ilvl w:val="0"/>
          <w:numId w:val="1003"/>
        </w:numPr>
        <w:pStyle w:val="Compact"/>
      </w:pPr>
      <w:r>
        <w:t xml:space="preserve">Pre-approval workflows for high-value contracts (reducing approval bottlenecks)</w:t>
      </w:r>
    </w:p>
    <w:p>
      <w:pPr>
        <w:numPr>
          <w:ilvl w:val="0"/>
          <w:numId w:val="1003"/>
        </w:numPr>
        <w:pStyle w:val="Compact"/>
      </w:pPr>
      <w:r>
        <w:t xml:space="preserve">Predictive risk scoring for client onboarding</w:t>
      </w:r>
    </w:p>
    <w:p>
      <w:pPr>
        <w:numPr>
          <w:ilvl w:val="0"/>
          <w:numId w:val="1003"/>
        </w:numPr>
        <w:pStyle w:val="Compact"/>
      </w:pPr>
      <w:r>
        <w:t xml:space="preserve">Seamless integration with Salesforce CPQ system</w:t>
      </w:r>
    </w:p>
    <w:bookmarkEnd w:id="24"/>
    <w:bookmarkEnd w:id="25"/>
    <w:bookmarkStart w:id="26" w:name="X49a68f12f87f9077f4a786778205f32d2a7fed4"/>
    <w:p>
      <w:pPr>
        <w:pStyle w:val="Heading2"/>
      </w:pPr>
      <w:r>
        <w:t xml:space="preserve">Strategic Value of the Auditor in Japan Tokyo</w:t>
      </w:r>
    </w:p>
    <w:p>
      <w:pPr>
        <w:pStyle w:val="FirstParagraph"/>
      </w:pPr>
      <w:r>
        <w:t xml:space="preserve">The role of the Auditor in Japan Tokyo has evolved from reactive compliance to proactive sales enablement. In a market where 89% of Fortune 500 clients require certified audit trails (per Deloitte Japan's 2023 Sales Compliance Survey), our Auditors:</w:t>
      </w:r>
    </w:p>
    <w:p>
      <w:pPr>
        <w:numPr>
          <w:ilvl w:val="0"/>
          <w:numId w:val="1004"/>
        </w:numPr>
        <w:pStyle w:val="Compact"/>
      </w:pPr>
      <w:r>
        <w:t xml:space="preserve">Build trust through transparent contract validation</w:t>
      </w:r>
    </w:p>
    <w:p>
      <w:pPr>
        <w:numPr>
          <w:ilvl w:val="0"/>
          <w:numId w:val="1004"/>
        </w:numPr>
        <w:pStyle w:val="Compact"/>
      </w:pPr>
      <w:r>
        <w:t xml:space="preserve">Enable sales teams to confidently pursue complex government contracts</w:t>
      </w:r>
    </w:p>
    <w:p>
      <w:pPr>
        <w:numPr>
          <w:ilvl w:val="0"/>
          <w:numId w:val="1004"/>
        </w:numPr>
        <w:pStyle w:val="Compact"/>
      </w:pPr>
      <w:r>
        <w:t xml:space="preserve">Provide market intelligence on compliance trends affecting pricing strategies</w:t>
      </w:r>
    </w:p>
    <w:bookmarkEnd w:id="26"/>
    <w:bookmarkStart w:id="29" w:name="challenges-addressed-in-tokyo-market"/>
    <w:p>
      <w:pPr>
        <w:pStyle w:val="Heading2"/>
      </w:pPr>
      <w:r>
        <w:t xml:space="preserve">Challenges Addressed in Tokyo Market</w:t>
      </w:r>
    </w:p>
    <w:bookmarkStart w:id="27" w:name="tokyo-specific-compliance-complexity"/>
    <w:p>
      <w:pPr>
        <w:pStyle w:val="Heading3"/>
      </w:pPr>
      <w:r>
        <w:t xml:space="preserve">Tokyo-Specific Compliance Complexity</w:t>
      </w:r>
    </w:p>
    <w:p>
      <w:pPr>
        <w:pStyle w:val="FirstParagraph"/>
      </w:pPr>
      <w:r>
        <w:t xml:space="preserve">The Tokyo market presents unique challenges including:</w:t>
      </w:r>
    </w:p>
    <w:p>
      <w:pPr>
        <w:numPr>
          <w:ilvl w:val="0"/>
          <w:numId w:val="1005"/>
        </w:numPr>
        <w:pStyle w:val="Compact"/>
      </w:pPr>
      <w:r>
        <w:t xml:space="preserve">Multiple regional tax jurisdictions within metropolitan area</w:t>
      </w:r>
    </w:p>
    <w:p>
      <w:pPr>
        <w:numPr>
          <w:ilvl w:val="0"/>
          <w:numId w:val="1005"/>
        </w:numPr>
        <w:pStyle w:val="Compact"/>
      </w:pPr>
      <w:r>
        <w:t xml:space="preserve">Industry-specific regulations (e.g., strict telecom rules under MIC guidelines)</w:t>
      </w:r>
    </w:p>
    <w:p>
      <w:pPr>
        <w:numPr>
          <w:ilvl w:val="0"/>
          <w:numId w:val="1005"/>
        </w:numPr>
        <w:pStyle w:val="Compact"/>
      </w:pPr>
      <w:r>
        <w:t xml:space="preserve">Cultural nuances in sales documentation expectations</w:t>
      </w:r>
    </w:p>
    <w:p>
      <w:pPr>
        <w:pStyle w:val="FirstParagraph"/>
      </w:pPr>
      <w:r>
        <w:t xml:space="preserve">The Tokyo Audit Team resolved 100% of these challenges through localized protocols, developing a specialized "Nihon Compliance Playbook" that reduced cross-check time by 41%.</w:t>
      </w:r>
    </w:p>
    <w:bookmarkEnd w:id="27"/>
    <w:bookmarkStart w:id="28" w:name="technology-integration-hurdles"/>
    <w:p>
      <w:pPr>
        <w:pStyle w:val="Heading3"/>
      </w:pPr>
      <w:r>
        <w:t xml:space="preserve">Technology Integration Hurdles</w:t>
      </w:r>
    </w:p>
    <w:p>
      <w:pPr>
        <w:pStyle w:val="FirstParagraph"/>
      </w:pPr>
      <w:r>
        <w:t xml:space="preserve">Initial system integration with Japanese ERP platforms (SAP S/4HANA) caused delays. Our Auditor team spearheaded a solution involving:</w:t>
      </w:r>
    </w:p>
    <w:p>
      <w:pPr>
        <w:numPr>
          <w:ilvl w:val="0"/>
          <w:numId w:val="1006"/>
        </w:numPr>
        <w:pStyle w:val="Compact"/>
      </w:pPr>
      <w:r>
        <w:t xml:space="preserve">Custom API connectors for real-time tax validation</w:t>
      </w:r>
    </w:p>
    <w:p>
      <w:pPr>
        <w:numPr>
          <w:ilvl w:val="0"/>
          <w:numId w:val="1006"/>
        </w:numPr>
        <w:pStyle w:val="Compact"/>
      </w:pPr>
      <w:r>
        <w:t xml:space="preserve">Localized dashboards showing compliance status in Kanji</w:t>
      </w:r>
    </w:p>
    <w:p>
      <w:pPr>
        <w:numPr>
          <w:ilvl w:val="0"/>
          <w:numId w:val="1006"/>
        </w:numPr>
        <w:pStyle w:val="Compact"/>
      </w:pPr>
      <w:r>
        <w:t xml:space="preserve">AI-driven anomaly detection calibrated to Tokyo sales patterns</w:t>
      </w:r>
    </w:p>
    <w:bookmarkEnd w:id="28"/>
    <w:bookmarkEnd w:id="29"/>
    <w:bookmarkStart w:id="33" w:name="X1923a91249394e9ad7e4c311ae9bec89608e412"/>
    <w:p>
      <w:pPr>
        <w:pStyle w:val="Heading2"/>
      </w:pPr>
      <w:r>
        <w:t xml:space="preserve">Future Strategy: Elevating the Auditor Role in Japan Tokyo</w:t>
      </w:r>
    </w:p>
    <w:bookmarkStart w:id="30" w:name="X0ec55441cff781be2ae7ff47a020e79465631ca"/>
    <w:p>
      <w:pPr>
        <w:pStyle w:val="Heading3"/>
      </w:pPr>
      <w:r>
        <w:t xml:space="preserve">Phase 1: AI-Powered Predictive Auditing (Q1 2024)</w:t>
      </w:r>
    </w:p>
    <w:p>
      <w:pPr>
        <w:pStyle w:val="FirstParagraph"/>
      </w:pPr>
      <w:r>
        <w:t xml:space="preserve">Implementing machine learning models trained on Tokyo sales data to forecast compliance risks 60 days pre-closing. This will reduce manual reviews by 55% while increasing proactive intervention rates.</w:t>
      </w:r>
    </w:p>
    <w:bookmarkEnd w:id="30"/>
    <w:bookmarkStart w:id="31" w:name="X777e336ad8eaf00fa19d999baa51c7a45438bab"/>
    <w:p>
      <w:pPr>
        <w:pStyle w:val="Heading3"/>
      </w:pPr>
      <w:r>
        <w:t xml:space="preserve">Phase 2: Sales-Audit Collaboration Framework</w:t>
      </w:r>
    </w:p>
    <w:p>
      <w:pPr>
        <w:pStyle w:val="FirstParagraph"/>
      </w:pPr>
      <w:r>
        <w:t xml:space="preserve">Creating co-location centers for Auditors and Sales in Tokyo's Roppongi business district to enable real-time strategy sessions. The first center will launch December 2023, targeting a 15% increase in high-compliance deal conversion.</w:t>
      </w:r>
    </w:p>
    <w:bookmarkEnd w:id="31"/>
    <w:bookmarkStart w:id="32" w:name="phase-3-regulatory-intelligence-unit"/>
    <w:p>
      <w:pPr>
        <w:pStyle w:val="Heading3"/>
      </w:pPr>
      <w:r>
        <w:t xml:space="preserve">Phase 3: Regulatory Intelligence Unit</w:t>
      </w:r>
    </w:p>
    <w:p>
      <w:pPr>
        <w:pStyle w:val="FirstParagraph"/>
      </w:pPr>
      <w:r>
        <w:t xml:space="preserve">Establishing a dedicated Tokyo-based team monitoring Financial Services Agency (FSA) and METI policy updates, ensuring Auditors are always ahead of compliance shifts. This directly addresses the market's 12% annual regulatory change rate.</w:t>
      </w:r>
    </w:p>
    <w:bookmarkEnd w:id="32"/>
    <w:bookmarkEnd w:id="33"/>
    <w:bookmarkStart w:id="34" w:name="X8aabe1c948cd20e7520175bbb6bdea77bdde1c4"/>
    <w:p>
      <w:pPr>
        <w:pStyle w:val="Heading2"/>
      </w:pPr>
      <w:r>
        <w:t xml:space="preserve">Conclusion: The Auditor as Strategic Sales Catalyst</w:t>
      </w:r>
    </w:p>
    <w:p>
      <w:pPr>
        <w:pStyle w:val="FirstParagraph"/>
      </w:pPr>
      <w:r>
        <w:t xml:space="preserve">This Sales Report confirms that in Japan Tokyo, the Auditor is not a cost center but a strategic revenue driver. Our Tokyo Audit Team has transformed compliance from a constraint into a competitive advantage—securing $4.3M in incremental revenue through faster deal cycles and eliminating $2.9M in avoidable risks during 2023.</w:t>
      </w:r>
    </w:p>
    <w:p>
      <w:pPr>
        <w:pStyle w:val="BodyText"/>
      </w:pPr>
      <w:r>
        <w:t xml:space="preserve">As the Japan Tokyo market evolves toward greater regulatory sophistication, the Auditor function will become even more critical. Our commitment to embedding Auditors within sales workflows—rather than placing them in isolated compliance silos—has proven essential for navigating Japan's complex commercial landscape. The success of this model positions us to expand the Auditor-enabled sales approach across all APAC markets.</w:t>
      </w:r>
    </w:p>
    <w:p>
      <w:pPr>
        <w:pStyle w:val="BodyText"/>
      </w:pPr>
      <w:r>
        <w:t xml:space="preserve">With 92% of Tokyo clients now requesting explicit audit trail documentation as part of their RFPs, our strategic integration of Sales Report transparency and Auditor accountability has cemented our market leadership position. The data is clear: In Japan Tokyo, the right Auditor doesn't just verify sales—they make them possible.</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Market Focus:</w:t>
      </w:r>
      <w:r>
        <w:t xml:space="preserve"> </w:t>
      </w:r>
      <w:r>
        <w:t xml:space="preserve">Japan Tokyo Sales Performance &amp; Compliance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Japan Tokyo</dc:title>
  <dc:creator/>
  <dc:language>en</dc:language>
  <cp:keywords/>
  <dcterms:created xsi:type="dcterms:W3CDTF">2026-07-24T04:37:14Z</dcterms:created>
  <dcterms:modified xsi:type="dcterms:W3CDTF">2026-07-24T04:37:14Z</dcterms:modified>
</cp:coreProperties>
</file>

<file path=docProps/custom.xml><?xml version="1.0" encoding="utf-8"?>
<Properties xmlns="http://schemas.openxmlformats.org/officeDocument/2006/custom-properties" xmlns:vt="http://schemas.openxmlformats.org/officeDocument/2006/docPropsVTypes"/>
</file>