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Kazakhstan</w:t>
      </w:r>
      <w:r>
        <w:t xml:space="preserve"> </w:t>
      </w:r>
      <w:r>
        <w:t xml:space="preserve">Almaty</w:t>
      </w:r>
    </w:p>
    <w:bookmarkStart w:id="27" w:name="X3fac2ce0b09ee29f471c29bcc348f04b4ed94db"/>
    <w:p>
      <w:pPr>
        <w:pStyle w:val="Heading1"/>
      </w:pPr>
      <w:r>
        <w:t xml:space="preserve">Comprehensive Sales Performance Report: Auditor Services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Audit Solutions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exceptional sales performance of our auditor services within Kazakhstan's Almaty market during Q3 2023. As the premier auditing firm operating in Central Asia, we've achieved a remarkable 18% year-over-year revenue growth in Almaty, directly attributable to strategic auditor deployment and client-centric service delivery. The Almaty branch not only exceeded its sales targets by 22% but also established new benchmarks for auditor-client engagement across our Kazakhstan operations. This success underscores the critical role of specialized auditors in navigating Kazakhstan's evolving regulatory landscape while driving sustainable business growth for our clients.</w:t>
      </w:r>
    </w:p>
    <w:bookmarkEnd w:id="20"/>
    <w:bookmarkStart w:id="21" w:name="X39447d7d4b320700d60094bba3688b58220a611"/>
    <w:p>
      <w:pPr>
        <w:pStyle w:val="Heading2"/>
      </w:pPr>
      <w:r>
        <w:t xml:space="preserve">II. Sales Performance Highlights: Almaty Market</w:t>
      </w:r>
    </w:p>
    <w:p>
      <w:pPr>
        <w:pStyle w:val="FirstParagraph"/>
      </w:pPr>
      <w:r>
        <w:t xml:space="preserve">Almaty, as Kazakhstan's economic capital and primary business hub, remains our most valuable market in Central Asia. Q3 2023 demonstrated unprecedented momentum with the following key achievements:</w:t>
      </w:r>
    </w:p>
    <w:p>
      <w:pPr>
        <w:numPr>
          <w:ilvl w:val="0"/>
          <w:numId w:val="1001"/>
        </w:numPr>
        <w:pStyle w:val="Compact"/>
      </w:pPr>
      <w:r>
        <w:rPr>
          <w:bCs/>
          <w:b/>
        </w:rPr>
        <w:t xml:space="preserve">Revenue Growth:</w:t>
      </w:r>
      <w:r>
        <w:t xml:space="preserve"> </w:t>
      </w:r>
      <w:r>
        <w:t xml:space="preserve">$1.85M (vs. $1.57M in Q2), representing a 17.8% sequential increase and 18.3% YoY growth</w:t>
      </w:r>
    </w:p>
    <w:p>
      <w:pPr>
        <w:numPr>
          <w:ilvl w:val="0"/>
          <w:numId w:val="1001"/>
        </w:numPr>
        <w:pStyle w:val="Compact"/>
      </w:pPr>
      <w:r>
        <w:rPr>
          <w:bCs/>
          <w:b/>
        </w:rPr>
        <w:t xml:space="preserve">New Client Acquisition:</w:t>
      </w:r>
      <w:r>
        <w:t xml:space="preserve"> </w:t>
      </w:r>
      <w:r>
        <w:t xml:space="preserve">24 high-value clients added, including three Fortune 500 Kazakhstani enterprises</w:t>
      </w:r>
    </w:p>
    <w:p>
      <w:pPr>
        <w:numPr>
          <w:ilvl w:val="0"/>
          <w:numId w:val="1001"/>
        </w:numPr>
        <w:pStyle w:val="Compact"/>
      </w:pPr>
      <w:r>
        <w:rPr>
          <w:bCs/>
          <w:b/>
        </w:rPr>
        <w:t xml:space="preserve">Client Retention Rate:</w:t>
      </w:r>
      <w:r>
        <w:t xml:space="preserve"> </w:t>
      </w:r>
      <w:r>
        <w:t xml:space="preserve">94.7% (exceeding the regional average of 88.2%)</w:t>
      </w:r>
    </w:p>
    <w:p>
      <w:pPr>
        <w:numPr>
          <w:ilvl w:val="0"/>
          <w:numId w:val="1001"/>
        </w:numPr>
        <w:pStyle w:val="Compact"/>
      </w:pPr>
      <w:r>
        <w:rPr>
          <w:bCs/>
          <w:b/>
        </w:rPr>
        <w:t xml:space="preserve">Sales Pipeline Value:</w:t>
      </w:r>
      <w:r>
        <w:t xml:space="preserve"> </w:t>
      </w:r>
      <w:r>
        <w:t xml:space="preserve">$4.2M (31% increase from Q2)</w:t>
      </w:r>
    </w:p>
    <w:p>
      <w:pPr>
        <w:pStyle w:val="FirstParagraph"/>
      </w:pPr>
      <w:r>
        <w:t xml:space="preserve">The Almaty sales team achieved these results through rigorous auditor-led market intelligence, demonstrating how specialized financial expertise directly translates to commercial success in Kazakhstan's unique business environment.</w:t>
      </w:r>
    </w:p>
    <w:bookmarkEnd w:id="21"/>
    <w:bookmarkStart w:id="22" w:name="Xa09f3f2738a88b127e9d4a207598e29f42ded22"/>
    <w:p>
      <w:pPr>
        <w:pStyle w:val="Heading2"/>
      </w:pPr>
      <w:r>
        <w:t xml:space="preserve">III. Auditor Impact Analysis: The Catalyst for Growth</w:t>
      </w:r>
    </w:p>
    <w:p>
      <w:pPr>
        <w:pStyle w:val="FirstParagraph"/>
      </w:pPr>
      <w:r>
        <w:t xml:space="preserve">Our strategic investment in deploying certified auditors with deep Kazakhstan market knowledge has fundamentally transformed our sales approach. Key contributions include:</w:t>
      </w:r>
    </w:p>
    <w:p>
      <w:pPr>
        <w:numPr>
          <w:ilvl w:val="0"/>
          <w:numId w:val="1002"/>
        </w:numPr>
        <w:pStyle w:val="Compact"/>
      </w:pPr>
      <w:r>
        <w:rPr>
          <w:bCs/>
          <w:b/>
        </w:rPr>
        <w:t xml:space="preserve">Regulatory Navigation:</w:t>
      </w:r>
      <w:r>
        <w:t xml:space="preserve"> </w:t>
      </w:r>
      <w:r>
        <w:t xml:space="preserve">Kazakhstani auditors successfully guided 18 clients through complex M&amp;A transactions compliant with the new Tax Code amendments (effective Jan 2023), directly securing $670K in audit engagements. This regulatory expertise has become our primary sales differentiator.</w:t>
      </w:r>
    </w:p>
    <w:p>
      <w:pPr>
        <w:numPr>
          <w:ilvl w:val="0"/>
          <w:numId w:val="1002"/>
        </w:numPr>
        <w:pStyle w:val="Compact"/>
      </w:pPr>
      <w:r>
        <w:rPr>
          <w:bCs/>
          <w:b/>
        </w:rPr>
        <w:t xml:space="preserve">Client Trust Building:</w:t>
      </w:r>
      <w:r>
        <w:t xml:space="preserve"> </w:t>
      </w:r>
      <w:r>
        <w:t xml:space="preserve">Auditor-led workshops on Kazakhstan's 2023 Financial Reporting Standards (KZFRS) increased client engagement by 41%, with 76% of new clients citing auditor credibility as their primary decision factor.</w:t>
      </w:r>
    </w:p>
    <w:p>
      <w:pPr>
        <w:numPr>
          <w:ilvl w:val="0"/>
          <w:numId w:val="1002"/>
        </w:numPr>
        <w:pStyle w:val="Compact"/>
      </w:pPr>
      <w:r>
        <w:rPr>
          <w:bCs/>
          <w:b/>
        </w:rPr>
        <w:t xml:space="preserve">Process Optimization:</w:t>
      </w:r>
      <w:r>
        <w:t xml:space="preserve"> </w:t>
      </w:r>
      <w:r>
        <w:t xml:space="preserve">Our Almaty auditors identified $1.2M in potential audit efficiency savings for existing clients through process mapping, leading to expanded service contracts with 15 enterprise accounts.</w:t>
      </w:r>
    </w:p>
    <w:p>
      <w:pPr>
        <w:pStyle w:val="FirstParagraph"/>
      </w:pPr>
      <w:r>
        <w:t xml:space="preserve">"The Almaty auditor team didn't just sell services—they delivered regulatory confidence," stated Elena Karimova, Head of Sales for Central Asia. "When Kazakhstani CFOs hear our auditors speak about local tax incentives and customs regulations in their native language, they immediately recognize our market expertise."</w:t>
      </w:r>
    </w:p>
    <w:bookmarkEnd w:id="22"/>
    <w:bookmarkStart w:id="23" w:name="X92552c1885ac80152b429d773f2fb89bfae4431"/>
    <w:p>
      <w:pPr>
        <w:pStyle w:val="Heading2"/>
      </w:pPr>
      <w:r>
        <w:t xml:space="preserve">IV. Market Dynamics: Kazakhstan Almaty Context</w:t>
      </w:r>
    </w:p>
    <w:p>
      <w:pPr>
        <w:pStyle w:val="FirstParagraph"/>
      </w:pPr>
      <w:r>
        <w:t xml:space="preserve">Kazakhstan's economic trajectory directly impacts our auditor sales strategy. Current market conditions include:</w:t>
      </w:r>
    </w:p>
    <w:p>
      <w:pPr>
        <w:numPr>
          <w:ilvl w:val="0"/>
          <w:numId w:val="1003"/>
        </w:numPr>
        <w:pStyle w:val="Compact"/>
      </w:pPr>
      <w:r>
        <w:rPr>
          <w:bCs/>
          <w:b/>
        </w:rPr>
        <w:t xml:space="preserve">Regulatory Evolution:</w:t>
      </w:r>
      <w:r>
        <w:t xml:space="preserve"> </w:t>
      </w:r>
      <w:r>
        <w:t xml:space="preserve">New Central Bank guidelines (CBK Resolution 54) requiring enhanced financial disclosures have created urgent demand for specialized auditors in Almaty.</w:t>
      </w:r>
    </w:p>
    <w:p>
      <w:pPr>
        <w:numPr>
          <w:ilvl w:val="0"/>
          <w:numId w:val="1003"/>
        </w:numPr>
        <w:pStyle w:val="Compact"/>
      </w:pPr>
      <w:r>
        <w:rPr>
          <w:bCs/>
          <w:b/>
        </w:rPr>
        <w:t xml:space="preserve">Diversification Push:</w:t>
      </w:r>
      <w:r>
        <w:t xml:space="preserve"> </w:t>
      </w:r>
      <w:r>
        <w:t xml:space="preserve">Government initiatives like "Kazakhstan 2050" are driving corporate restructuring, generating $2.1B in potential audit engagements across manufacturing and energy sectors.</w:t>
      </w:r>
    </w:p>
    <w:p>
      <w:pPr>
        <w:numPr>
          <w:ilvl w:val="0"/>
          <w:numId w:val="1003"/>
        </w:numPr>
        <w:pStyle w:val="Compact"/>
      </w:pPr>
      <w:r>
        <w:rPr>
          <w:bCs/>
          <w:b/>
        </w:rPr>
        <w:t xml:space="preserve">Competitive Landscape:</w:t>
      </w:r>
      <w:r>
        <w:t xml:space="preserve"> </w:t>
      </w:r>
      <w:r>
        <w:t xml:space="preserve">While global firms dominate large deals, our local auditor presence gives us a 37% higher win rate against international competitors in Almaty's mid-market segment.</w:t>
      </w:r>
    </w:p>
    <w:p>
      <w:pPr>
        <w:pStyle w:val="FirstParagraph"/>
      </w:pPr>
      <w:r>
        <w:t xml:space="preserve">A critical insight from our Almaty auditors: Client acquisition is no longer about price competition but demonstrating localized regulatory mastery. This shifted sales strategy has been pivotal to our Q3 success.</w:t>
      </w:r>
    </w:p>
    <w:bookmarkEnd w:id="23"/>
    <w:bookmarkStart w:id="24" w:name="v.-challenges-auditor-driven-solutions"/>
    <w:p>
      <w:pPr>
        <w:pStyle w:val="Heading2"/>
      </w:pPr>
      <w:r>
        <w:t xml:space="preserve">V. Challenges &amp; Auditor-Driven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Auditor Solution</w:t>
            </w:r>
          </w:p>
        </w:tc>
        <w:tc>
          <w:tcPr/>
          <w:p>
            <w:pPr>
              <w:pStyle w:val="Compact"/>
              <w:jc w:val="left"/>
            </w:pPr>
            <w:r>
              <w:t xml:space="preserve">Result</w:t>
            </w:r>
          </w:p>
        </w:tc>
      </w:tr>
      <w:tr>
        <w:tc>
          <w:tcPr/>
          <w:p>
            <w:pPr>
              <w:pStyle w:val="Compact"/>
              <w:jc w:val="left"/>
            </w:pPr>
            <w:r>
              <w:t xml:space="preserve">Lack of Kazakh-speaking audit staff in competitors' teams</w:t>
            </w:r>
          </w:p>
        </w:tc>
        <w:tc>
          <w:tcPr/>
          <w:p>
            <w:pPr>
              <w:pStyle w:val="Compact"/>
              <w:jc w:val="left"/>
            </w:pPr>
            <w:r>
              <w:t xml:space="preserve">Deployed all-Almaty auditor team with native language capabilities (Kazakh/Russian/English)</w:t>
            </w:r>
          </w:p>
        </w:tc>
        <w:tc>
          <w:tcPr/>
          <w:p>
            <w:pPr>
              <w:pStyle w:val="Compact"/>
              <w:jc w:val="left"/>
            </w:pPr>
            <w:r>
              <w:t xml:space="preserve">100% of new clients reported improved communication efficiency</w:t>
            </w:r>
          </w:p>
        </w:tc>
      </w:tr>
      <w:tr>
        <w:tc>
          <w:tcPr/>
          <w:p>
            <w:pPr>
              <w:pStyle w:val="Compact"/>
              <w:jc w:val="left"/>
            </w:pPr>
            <w:r>
              <w:t xml:space="preserve">Complex cross-border transaction compliance for energy sector</w:t>
            </w:r>
          </w:p>
        </w:tc>
        <w:tc>
          <w:tcPr/>
          <w:p>
            <w:pPr>
              <w:pStyle w:val="Compact"/>
              <w:jc w:val="left"/>
            </w:pPr>
            <w:r>
              <w:t xml:space="preserve">Developed Kazakhstan-specific audit checklist for CIS market transactions</w:t>
            </w:r>
          </w:p>
        </w:tc>
        <w:tc>
          <w:tcPr/>
          <w:p>
            <w:pPr>
              <w:pStyle w:val="Compact"/>
              <w:jc w:val="left"/>
            </w:pPr>
            <w:r>
              <w:t xml:space="preserve">Closed $320K deal with KazMunayGas subsidiary</w:t>
            </w:r>
          </w:p>
        </w:tc>
      </w:tr>
      <w:tr>
        <w:tc>
          <w:tcPr/>
          <w:p>
            <w:pPr>
              <w:pStyle w:val="Compact"/>
              <w:jc w:val="left"/>
            </w:pPr>
            <w:r>
              <w:t xml:space="preserve">Limited trust in foreign audit firms due to cultural gaps</w:t>
            </w:r>
          </w:p>
        </w:tc>
        <w:tc>
          <w:tcPr/>
          <w:p>
            <w:pPr>
              <w:pStyle w:val="Compact"/>
              <w:jc w:val="left"/>
            </w:pPr>
            <w:r>
              <w:t xml:space="preserve">Implemented "Client-Centric Auditor" program with local business etiquette training</w:t>
            </w:r>
          </w:p>
        </w:tc>
        <w:tc>
          <w:tcPr/>
          <w:p>
            <w:pPr>
              <w:pStyle w:val="Compact"/>
              <w:jc w:val="left"/>
            </w:pPr>
            <w:r>
              <w:t xml:space="preserve">89% increase in client satisfaction scores (CSAT)</w:t>
            </w:r>
          </w:p>
        </w:tc>
      </w:tr>
    </w:tbl>
    <w:bookmarkEnd w:id="24"/>
    <w:bookmarkStart w:id="25" w:name="Xf1d24db08387cf063d6ebcac7893dd447fa0bf5"/>
    <w:p>
      <w:pPr>
        <w:pStyle w:val="Heading2"/>
      </w:pPr>
      <w:r>
        <w:t xml:space="preserve">VI. Strategic Recommendations for Kazakhstan Almaty</w:t>
      </w:r>
    </w:p>
    <w:p>
      <w:pPr>
        <w:numPr>
          <w:ilvl w:val="0"/>
          <w:numId w:val="1004"/>
        </w:numPr>
        <w:pStyle w:val="Compact"/>
      </w:pPr>
      <w:r>
        <w:rPr>
          <w:bCs/>
          <w:b/>
        </w:rPr>
        <w:t xml:space="preserve">Expand Local Auditor Recruitment:</w:t>
      </w:r>
      <w:r>
        <w:t xml:space="preserve"> </w:t>
      </w:r>
      <w:r>
        <w:t xml:space="preserve">Target 30% increase in Kazakh-speaking auditors by Q1 2024 to support anticipated regulatory workload growth.</w:t>
      </w:r>
    </w:p>
    <w:p>
      <w:pPr>
        <w:numPr>
          <w:ilvl w:val="0"/>
          <w:numId w:val="1004"/>
        </w:numPr>
        <w:pStyle w:val="Compact"/>
      </w:pPr>
      <w:r>
        <w:rPr>
          <w:bCs/>
          <w:b/>
        </w:rPr>
        <w:t xml:space="preserve">Develop Kazakhstan-Specific Service Bundles:</w:t>
      </w:r>
      <w:r>
        <w:t xml:space="preserve"> </w:t>
      </w:r>
      <w:r>
        <w:t xml:space="preserve">Create "KZ Compliance Suite" combining audit, tax advisory, and regulatory reporting to address emerging market needs.</w:t>
      </w:r>
    </w:p>
    <w:p>
      <w:pPr>
        <w:numPr>
          <w:ilvl w:val="0"/>
          <w:numId w:val="1004"/>
        </w:numPr>
        <w:pStyle w:val="Compact"/>
      </w:pPr>
      <w:r>
        <w:rPr>
          <w:bCs/>
          <w:b/>
        </w:rPr>
        <w:t xml:space="preserve">Leverage Almaty's Strategic Position:</w:t>
      </w:r>
      <w:r>
        <w:t xml:space="preserve"> </w:t>
      </w:r>
      <w:r>
        <w:t xml:space="preserve">Establish a regional auditor training center in Almaty to serve Central Asia markets, positioning our firm as the region's compliance hub.</w:t>
      </w:r>
    </w:p>
    <w:p>
      <w:pPr>
        <w:numPr>
          <w:ilvl w:val="0"/>
          <w:numId w:val="1004"/>
        </w:numPr>
        <w:pStyle w:val="Compact"/>
      </w:pPr>
      <w:r>
        <w:rPr>
          <w:bCs/>
          <w:b/>
        </w:rPr>
        <w:t xml:space="preserve">Cultivate Government Partnerships:</w:t>
      </w:r>
      <w:r>
        <w:t xml:space="preserve"> </w:t>
      </w:r>
      <w:r>
        <w:t xml:space="preserve">Collaborate with Kazakhstan Financial Market Committee on audit standards development—this will generate 15-20 new government contracts annually.</w:t>
      </w:r>
    </w:p>
    <w:bookmarkEnd w:id="25"/>
    <w:bookmarkStart w:id="26" w:name="vii.-conclusion"/>
    <w:p>
      <w:pPr>
        <w:pStyle w:val="Heading2"/>
      </w:pPr>
      <w:r>
        <w:t xml:space="preserve">VII. Conclusion</w:t>
      </w:r>
    </w:p>
    <w:p>
      <w:pPr>
        <w:pStyle w:val="FirstParagraph"/>
      </w:pPr>
      <w:r>
        <w:t xml:space="preserve">The Q3 sales performance in Kazakhstan Almaty unequivocally proves that specialized auditor expertise is the engine driving commercial success in this market. Our auditors have transformed from technical service providers to strategic business partners, directly contributing to a 18% revenue surge while establishing new industry benchmarks for client engagement. As Kazakhstan accelerates its economic modernization under "Kazakhstan 2050," the demand for culturally attuned auditors will only intensify.</w:t>
      </w:r>
    </w:p>
    <w:p>
      <w:pPr>
        <w:pStyle w:val="BodyText"/>
      </w:pPr>
      <w:r>
        <w:t xml:space="preserve">Looking ahead, we recommend doubling down on our Almaty-based auditor strategy as the foundation of our Central Asian growth. The data is clear: In Kazakhstan's business landscape, where regulatory nuance determines commercial viability, having local auditors who understand both the financial framework and cultural context isn't just beneficial—it's commercially imperative. Our Almaty branch has not merely met expectations; it has redefined what auditor-driven sales success means in this critical market.</w:t>
      </w:r>
    </w:p>
    <w:p>
      <w:pPr>
        <w:pStyle w:val="BodyText"/>
      </w:pPr>
      <w:r>
        <w:rPr>
          <w:bCs/>
          <w:b/>
        </w:rPr>
        <w:t xml:space="preserve">Prepared By:</w:t>
      </w:r>
      <w:r>
        <w:t xml:space="preserve"> </w:t>
      </w:r>
      <w:r>
        <w:t xml:space="preserve">Global Audit Solutions Kazakhstan, Almaty Branch</w:t>
      </w:r>
    </w:p>
    <w:p>
      <w:pPr>
        <w:pStyle w:val="BodyText"/>
      </w:pPr>
      <w:r>
        <w:rPr>
          <w:bCs/>
          <w:b/>
        </w:rPr>
        <w:t xml:space="preserve">Contact:</w:t>
      </w:r>
      <w:r>
        <w:t xml:space="preserve"> </w:t>
      </w:r>
      <w:r>
        <w:t xml:space="preserve">Alexander Volkov, Sales Director - Central Asia</w:t>
      </w:r>
    </w:p>
    <w:p>
      <w:r>
        <w:pict>
          <v:rect style="width:0;height:1.5pt" o:hralign="center" o:hrstd="t" o:hr="t"/>
        </w:pict>
      </w:r>
    </w:p>
    <w:p>
      <w:pPr>
        <w:pStyle w:val="FirstParagraph"/>
      </w:pPr>
      <w:r>
        <w:t xml:space="preserve">This report contains confidential information intended solely for the use of Global Audit Solutions executives. Unauthorized distribution is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Kazakhstan Almaty</dc:title>
  <dc:creator/>
  <dc:language>en</dc:language>
  <cp:keywords/>
  <dcterms:created xsi:type="dcterms:W3CDTF">2026-07-23T18:15:18Z</dcterms:created>
  <dcterms:modified xsi:type="dcterms:W3CDTF">2026-07-23T18:15:18Z</dcterms:modified>
</cp:coreProperties>
</file>

<file path=docProps/custom.xml><?xml version="1.0" encoding="utf-8"?>
<Properties xmlns="http://schemas.openxmlformats.org/officeDocument/2006/custom-properties" xmlns:vt="http://schemas.openxmlformats.org/officeDocument/2006/docPropsVTypes"/>
</file>