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7803a29a8b343579d0beacbd1de1afb067241d"/>
    <w:p>
      <w:pPr>
        <w:pStyle w:val="Heading1"/>
      </w:pPr>
      <w:r>
        <w:t xml:space="preserve">Q4 2023 Sales Performance Report: Auditor Services in Malaysia Kuala Lumpur</w:t>
      </w:r>
    </w:p>
    <w:p>
      <w:pPr>
        <w:pStyle w:val="FirstParagraph"/>
      </w:pPr>
      <w:r>
        <w:rPr>
          <w:bCs/>
          <w:b/>
        </w:rPr>
        <w:t xml:space="preserve">Date:</w:t>
      </w:r>
      <w:r>
        <w:t xml:space="preserve"> </w:t>
      </w:r>
      <w:r>
        <w:t xml:space="preserve">January 15, 2024 |</w:t>
      </w:r>
      <w:r>
        <w:t xml:space="preserve"> </w:t>
      </w:r>
      <w:r>
        <w:rPr>
          <w:bCs/>
          <w:b/>
        </w:rPr>
        <w:t xml:space="preserve">Prepared For:</w:t>
      </w:r>
      <w:r>
        <w:t xml:space="preserve"> </w:t>
      </w:r>
      <w:r>
        <w:t xml:space="preserve">Executive Management |</w:t>
      </w:r>
      <w:r>
        <w:t xml:space="preserve"> </w:t>
      </w:r>
      <w:r>
        <w:rPr>
          <w:bCs/>
          <w:b/>
        </w:rPr>
        <w:t xml:space="preserve">Region:</w:t>
      </w:r>
      <w:r>
        <w:t xml:space="preserve"> </w:t>
      </w:r>
      <w:r>
        <w:t xml:space="preserve">Malaysia Kuala Lumpur</w:t>
      </w:r>
    </w:p>
    <w:bookmarkStart w:id="20" w:name="X0ff79702d57c47025cfbdbb1dfaac52dba3209e"/>
    <w:p>
      <w:pPr>
        <w:pStyle w:val="Heading2"/>
      </w:pPr>
      <w:r>
        <w:t xml:space="preserve">Preface: Strategic Importance of Auditor Services in KL Market</w:t>
      </w:r>
    </w:p>
    <w:p>
      <w:pPr>
        <w:pStyle w:val="FirstParagraph"/>
      </w:pPr>
      <w:r>
        <w:t xml:space="preserve">The Kuala Lumpur financial landscape has experienced unprecedented regulatory complexity since the implementation of the new Companies Act 2016 and enhanced MIA (Malaysian Institute of Accountants) standards. This report details Q4 2023 sales performance for our core Auditor Services division, highlighting how our tailored audit solutions have become indispensable for KL-based businesses navigating Malaysia's evolving compliance environment. Our sales strategy focuses on positioning auditors as strategic business partners rather than mere compliance providers.</w:t>
      </w:r>
    </w:p>
    <w:p>
      <w:pPr>
        <w:pStyle w:val="BodyText"/>
      </w:pPr>
      <w:r>
        <w:rPr>
          <w:bCs/>
          <w:b/>
        </w:rPr>
        <w:t xml:space="preserve">Key Insight:</w:t>
      </w:r>
      <w:r>
        <w:t xml:space="preserve"> </w:t>
      </w:r>
      <w:r>
        <w:t xml:space="preserve">In Q4 2023, 78% of new client acquisitions in Kuala Lumpur directly resulted from our "Audit-as-Value-Add" sales methodology, where our auditors demonstrate how rigorous financial oversight drives operational efficiency and investor confidence.</w:t>
      </w:r>
    </w:p>
    <w:bookmarkEnd w:id="20"/>
    <w:bookmarkStart w:id="21" w:name="Xa928b78fd1af295343a4c0ecd12ded547a623c9"/>
    <w:p>
      <w:pPr>
        <w:pStyle w:val="Heading2"/>
      </w:pPr>
      <w:r>
        <w:t xml:space="preserve">Executive Summary: Record Quarter for KL Auditor Solutions</w:t>
      </w:r>
    </w:p>
    <w:p>
      <w:pPr>
        <w:pStyle w:val="FirstParagraph"/>
      </w:pPr>
      <w:r>
        <w:t xml:space="preserve">The fourth quarter marked a historic milestone for our Kuala Lumpur operations, with Auditor Services achieving 14% year-over-year growth in revenue. This exceeded our target by 18% and positioned us as the market leader in professional audit services across Malaysia. The success stems from three strategic pillars: deep industry specialization (particularly in Fintech, Real Estate, and Manufacturing), proactive regulatory intelligence sharing with clients, and a dedicated KL client onboarding team that reduces implementation timelines by 35%.</w:t>
      </w:r>
    </w:p>
    <w:bookmarkEnd w:id="21"/>
    <w:bookmarkStart w:id="22" w:name="q4-sales-performance-metrics"/>
    <w:p>
      <w:pPr>
        <w:pStyle w:val="Heading2"/>
      </w:pPr>
      <w:r>
        <w:t xml:space="preserve">Q4 Sales Performance Metrics</w:t>
      </w:r>
    </w:p>
    <w:p>
      <w:pPr>
        <w:pStyle w:val="FirstParagraph"/>
      </w:pPr>
      <w:r>
        <w:t xml:space="preserve">Key Metric</w:t>
      </w:r>
    </w:p>
    <w:p>
      <w:pPr>
        <w:pStyle w:val="BodyText"/>
      </w:pPr>
      <w:r>
        <w:t xml:space="preserve">Q4 2023</w:t>
      </w:r>
    </w:p>
    <w:p>
      <w:pPr>
        <w:pStyle w:val="BodyText"/>
      </w:pPr>
      <w:r>
        <w:t xml:space="preserve">Q3 2023</w:t>
      </w:r>
    </w:p>
    <w:p>
      <w:pPr>
        <w:pStyle w:val="BodyText"/>
      </w:pPr>
      <w:r>
        <w:t xml:space="preserve">YoY Change</w:t>
      </w:r>
    </w:p>
    <w:p>
      <w:pPr>
        <w:pStyle w:val="BodyText"/>
      </w:pPr>
      <w:r>
        <w:t xml:space="preserve">New Auditor Contracts Signed (KL)</w:t>
      </w:r>
    </w:p>
    <w:p>
      <w:pPr>
        <w:pStyle w:val="BodyText"/>
      </w:pPr>
      <w:r>
        <w:t xml:space="preserve">47</w:t>
      </w:r>
    </w:p>
    <w:p>
      <w:pPr>
        <w:pStyle w:val="BodyText"/>
      </w:pPr>
      <w:r>
        <w:t xml:space="preserve">39</w:t>
      </w:r>
    </w:p>
    <w:p>
      <w:pPr>
        <w:pStyle w:val="BodyText"/>
      </w:pPr>
      <w:r>
        <w:t xml:space="preserve">+20.5%</w:t>
      </w:r>
    </w:p>
    <w:p>
      <w:pPr>
        <w:pStyle w:val="BodyText"/>
      </w:pPr>
      <w:r>
        <w:t xml:space="preserve">Revenue Generated</w:t>
      </w:r>
    </w:p>
    <w:p>
      <w:pPr>
        <w:pStyle w:val="BodyText"/>
      </w:pPr>
      <w:r>
        <w:t xml:space="preserve">RM 14.8M</w:t>
      </w:r>
    </w:p>
    <w:p>
      <w:pPr>
        <w:pStyle w:val="BodyText"/>
      </w:pPr>
      <w:r>
        <w:t xml:space="preserve">RM 12.6M</w:t>
      </w:r>
    </w:p>
    <w:p>
      <w:pPr>
        <w:pStyle w:val="BodyText"/>
      </w:pPr>
      <w:r>
        <w:t xml:space="preserve">Q4 2023 Revenue by Client Industry (KL)</w:t>
      </w:r>
    </w:p>
    <w:p>
      <w:pPr>
        <w:pStyle w:val="BodyText"/>
      </w:pPr>
      <w:r>
        <w:t xml:space="preserve">Industry Segment</w:t>
      </w:r>
    </w:p>
    <w:p>
      <w:pPr>
        <w:pStyle w:val="BodyText"/>
      </w:pPr>
      <w:r>
        <w:t xml:space="preserve">% of Total Revenue</w:t>
      </w:r>
    </w:p>
    <w:p>
      <w:pPr>
        <w:pStyle w:val="BodyText"/>
      </w:pPr>
      <w:r>
        <w:t xml:space="preserve">Growth vs Q3</w:t>
      </w:r>
    </w:p>
    <w:p>
      <w:pPr>
        <w:pStyle w:val="BodyText"/>
      </w:pPr>
      <w:r>
        <w:t xml:space="preserve">Technology &amp; Fintech (KL Hub)</w:t>
      </w:r>
    </w:p>
    <w:p>
      <w:pPr>
        <w:pStyle w:val="BodyText"/>
      </w:pPr>
      <w:r>
        <w:t xml:space="preserve">38%</w:t>
      </w:r>
    </w:p>
    <w:p>
      <w:pPr>
        <w:pStyle w:val="BodyText"/>
      </w:pPr>
      <w:r>
        <w:t xml:space="preserve">+28.7%</w:t>
      </w:r>
    </w:p>
    <w:p>
      <w:pPr>
        <w:pStyle w:val="BodyText"/>
      </w:pPr>
      <w:r>
        <w:t xml:space="preserve">Real Estate Development</w:t>
      </w:r>
    </w:p>
    <w:p>
      <w:pPr>
        <w:pStyle w:val="BodyText"/>
      </w:pPr>
      <w:r>
        <w:t xml:space="preserve">25%</w:t>
      </w:r>
    </w:p>
    <w:p>
      <w:pPr>
        <w:pStyle w:val="BodyText"/>
      </w:pPr>
      <w:r>
        <w:t xml:space="preserve">+19.4%</w:t>
      </w:r>
    </w:p>
    <w:p>
      <w:pPr>
        <w:pStyle w:val="BodyText"/>
      </w:pPr>
      <w:r>
        <w:t xml:space="preserve">Manufacturing &amp; Exporters</w:t>
      </w:r>
    </w:p>
    <w:p>
      <w:pPr>
        <w:pStyle w:val="BodyText"/>
      </w:pPr>
      <w:r>
        <w:t xml:space="preserve">22%</w:t>
      </w:r>
    </w:p>
    <w:p>
      <w:pPr>
        <w:pStyle w:val="BodyText"/>
      </w:pPr>
      <w:r>
        <w:t xml:space="preserve">+15.3%</w:t>
      </w:r>
    </w:p>
    <w:p>
      <w:pPr>
        <w:pStyle w:val="BodyText"/>
      </w:pPr>
      <w:r>
        <w:t xml:space="preserve">Client Retention Rate (KL)</w:t>
      </w:r>
    </w:p>
    <w:p>
      <w:pPr>
        <w:pStyle w:val="BodyText"/>
      </w:pPr>
      <w:r>
        <w:t xml:space="preserve">Current Contract Renewal Rate</w:t>
      </w:r>
    </w:p>
    <w:p>
      <w:pPr>
        <w:pStyle w:val="BodyText"/>
      </w:pPr>
      <w:r>
        <w:t xml:space="preserve">&lt;</w:t>
      </w:r>
    </w:p>
    <w:bookmarkEnd w:id="22"/>
    <w:bookmarkStart w:id="24" w:name="Xcaf3d8fbc522b70a80fb6f5b73d2c4d18e19bbf"/>
    <w:p>
      <w:pPr>
        <w:pStyle w:val="Heading2"/>
      </w:pPr>
      <w:r>
        <w:t xml:space="preserve">Kuala Lumpur Market Analysis: Why Auditors Are Strategic Assets</w:t>
      </w:r>
    </w:p>
    <w:p>
      <w:pPr>
        <w:pStyle w:val="FirstParagraph"/>
      </w:pPr>
      <w:r>
        <w:t xml:space="preserve">The Malaysian capital's unique regulatory environment has transformed the auditor's role. With Bank Negara Malaysia (BNM) intensifying AML/CFT scrutiny and MIA mandating enhanced audit trails, businesses in Kuala Lumpur now view auditors as critical risk management partners. Our sales data reveals that 65% of KL clients specifically seek our services for compliance with BNM Circular 32/2021 and the new ESG disclosure requirements under the Companies Commission of Malaysia (SSM).</w:t>
      </w:r>
    </w:p>
    <w:bookmarkStart w:id="23" w:name="Xeeb794fdb5fee937c5286add9fe65d4eeea9fea"/>
    <w:p>
      <w:pPr>
        <w:pStyle w:val="Heading3"/>
      </w:pPr>
      <w:r>
        <w:t xml:space="preserve">Case Study: Fintech Client Acquisition in Petaling Jaya</w:t>
      </w:r>
    </w:p>
    <w:p>
      <w:pPr>
        <w:pStyle w:val="FirstParagraph"/>
      </w:pPr>
      <w:r>
        <w:t xml:space="preserve">A KL-based digital payment startup (valued at RM 180M) engaged our Auditor Services team after failing to meet BNM's capital adequacy standards during their Series C funding round. Our specialized fintech auditors not only delivered compliance but identified operational inefficiencies that improved their financial reporting accuracy by 40%. This resulted in a 2-year contract valued at RM 2.1M and three additional referrals within the KL startup ecosystem.</w:t>
      </w:r>
    </w:p>
    <w:p>
      <w:pPr>
        <w:pStyle w:val="BodyText"/>
      </w:pPr>
      <w:r>
        <w:rPr>
          <w:bCs/>
          <w:b/>
        </w:rPr>
        <w:t xml:space="preserve">KL Sales Strategy Success:</w:t>
      </w:r>
      <w:r>
        <w:t xml:space="preserve"> </w:t>
      </w:r>
      <w:r>
        <w:t xml:space="preserve">Our "Compliance to Growth" sales pitch—where auditors demonstrate how audit findings can unlock new business opportunities—generated a 34% higher average contract value compared to traditional billing models.</w:t>
      </w:r>
    </w:p>
    <w:bookmarkEnd w:id="23"/>
    <w:bookmarkEnd w:id="24"/>
    <w:bookmarkStart w:id="25" w:name="X28565a045ab19e8db1b74f8fe91bb56c9ff5601"/>
    <w:p>
      <w:pPr>
        <w:pStyle w:val="Heading2"/>
      </w:pPr>
      <w:r>
        <w:t xml:space="preserve">Regional Challenges and Adaptive Solutions</w:t>
      </w:r>
    </w:p>
    <w:p>
      <w:pPr>
        <w:pStyle w:val="FirstParagraph"/>
      </w:pPr>
      <w:r>
        <w:t xml:space="preserve">Despite strong growth, our Kuala Lumpur team faced two significant challenges:</w:t>
      </w:r>
    </w:p>
    <w:p>
      <w:pPr>
        <w:numPr>
          <w:ilvl w:val="0"/>
          <w:numId w:val="1001"/>
        </w:numPr>
        <w:pStyle w:val="Compact"/>
      </w:pPr>
      <w:r>
        <w:rPr>
          <w:bCs/>
          <w:b/>
        </w:rPr>
        <w:t xml:space="preserve">Regulatory Fragmentation:</w:t>
      </w:r>
      <w:r>
        <w:t xml:space="preserve"> </w:t>
      </w:r>
      <w:r>
        <w:t xml:space="preserve">Differing requirements between MIA (for public companies), SSM (for private entities), and BNM (for financial institutions) created confusion. Our response: Developed a Malaysia-specific "Regulatory Navigator" toolkit included in every sales proposal, reducing client onboarding time by 50%.</w:t>
      </w:r>
    </w:p>
    <w:p>
      <w:pPr>
        <w:numPr>
          <w:ilvl w:val="0"/>
          <w:numId w:val="1001"/>
        </w:numPr>
        <w:pStyle w:val="Compact"/>
      </w:pPr>
      <w:r>
        <w:rPr>
          <w:bCs/>
          <w:b/>
        </w:rPr>
        <w:t xml:space="preserve">Competitor Price Pressure:</w:t>
      </w:r>
      <w:r>
        <w:t xml:space="preserve"> </w:t>
      </w:r>
      <w:r>
        <w:t xml:space="preserve">Some local firms undercut prices for basic statutory audits. Counter-strategy: Shifted sales focus to value-based pricing—positioning our auditors as advisors who deliver risk mitigation (saving clients up to 3x their audit cost in avoided penalties).</w:t>
      </w:r>
    </w:p>
    <w:bookmarkEnd w:id="25"/>
    <w:bookmarkStart w:id="26" w:name="strategic-initiatives-for-q1-2024"/>
    <w:p>
      <w:pPr>
        <w:pStyle w:val="Heading2"/>
      </w:pPr>
      <w:r>
        <w:t xml:space="preserve">Strategic Initiatives for Q1 2024</w:t>
      </w:r>
    </w:p>
    <w:p>
      <w:pPr>
        <w:pStyle w:val="FirstParagraph"/>
      </w:pPr>
      <w:r>
        <w:t xml:space="preserve">Based on KL market insights, we're implementing three new initiatives:</w:t>
      </w:r>
    </w:p>
    <w:p>
      <w:pPr>
        <w:numPr>
          <w:ilvl w:val="0"/>
          <w:numId w:val="1002"/>
        </w:numPr>
        <w:pStyle w:val="Compact"/>
      </w:pPr>
      <w:r>
        <w:rPr>
          <w:bCs/>
          <w:b/>
        </w:rPr>
        <w:t xml:space="preserve">Kuala Lumpur Regulatory Summit:</w:t>
      </w:r>
      <w:r>
        <w:t xml:space="preserve"> </w:t>
      </w:r>
      <w:r>
        <w:t xml:space="preserve">Quarterly events with MIA and SSM officials to position our auditors as thought leaders (launched January 2024, attracting 127 high-value prospects).</w:t>
      </w:r>
    </w:p>
    <w:p>
      <w:pPr>
        <w:numPr>
          <w:ilvl w:val="0"/>
          <w:numId w:val="1002"/>
        </w:numPr>
        <w:pStyle w:val="Compact"/>
      </w:pPr>
      <w:r>
        <w:rPr>
          <w:bCs/>
          <w:b/>
        </w:rPr>
        <w:t xml:space="preserve">ESG Audit Integration:</w:t>
      </w:r>
      <w:r>
        <w:t xml:space="preserve"> </w:t>
      </w:r>
      <w:r>
        <w:t xml:space="preserve">Bundling standard audit services with ESG compliance checks—a service requested by 83% of KL manufacturing clients seeking sustainability certifications.</w:t>
      </w:r>
    </w:p>
    <w:p>
      <w:pPr>
        <w:numPr>
          <w:ilvl w:val="0"/>
          <w:numId w:val="1002"/>
        </w:numPr>
        <w:pStyle w:val="Compact"/>
      </w:pPr>
      <w:r>
        <w:rPr>
          <w:bCs/>
          <w:b/>
        </w:rPr>
        <w:t xml:space="preserve">AI-Powered Audit Platform:</w:t>
      </w:r>
      <w:r>
        <w:t xml:space="preserve"> </w:t>
      </w:r>
      <w:r>
        <w:t xml:space="preserve">Deploying our proprietary analytics tool (Kuala Lumpur-optimized) that identifies financial anomalies 7x faster, now featured in all sales presentations to KL clients.</w:t>
      </w:r>
    </w:p>
    <w:bookmarkEnd w:id="26"/>
    <w:bookmarkStart w:id="27" w:name="X070cc21005fca4cb8b26878a07fd4a2052f2745"/>
    <w:p>
      <w:pPr>
        <w:pStyle w:val="Heading2"/>
      </w:pPr>
      <w:r>
        <w:t xml:space="preserve">Conclusion: The Auditor as Catalyst for KL Business Growth</w:t>
      </w:r>
    </w:p>
    <w:p>
      <w:pPr>
        <w:pStyle w:val="FirstParagraph"/>
      </w:pPr>
      <w:r>
        <w:t xml:space="preserve">The Q4 2023 results validate our strategic pivot: In Malaysia Kuala Lumpur, auditors are no longer viewed as cost centers but as growth catalysts. Our sales performance demonstrates that when audit services align with Malaysia's regulatory priorities and KL's economic drivers (Fintech, real estate development, and manufacturing exports), businesses actively seek them out. The 78% client acquisition rate from our "value-first" approach confirms that in this market, a competent auditor is not just a service—it's the linchpin for sustainable growth.</w:t>
      </w:r>
    </w:p>
    <w:p>
      <w:pPr>
        <w:pStyle w:val="BodyText"/>
      </w:pPr>
      <w:r>
        <w:t xml:space="preserve">Looking ahead to Q1 2024, we project an additional 15-20% revenue increase as our new ESG integration and AI tools gain traction. Our sales team will continue focusing on Kuala Lumpur's unique regulatory landscape, ensuring that every contract signed delivers measurable compliance value while directly supporting the client's business objectives in Malaysia.</w:t>
      </w:r>
    </w:p>
    <w:p>
      <w:pPr>
        <w:pStyle w:val="BodyText"/>
      </w:pPr>
      <w:r>
        <w:rPr>
          <w:bCs/>
          <w:b/>
        </w:rPr>
        <w:t xml:space="preserve">Prepared By:</w:t>
      </w:r>
      <w:r>
        <w:t xml:space="preserve"> </w:t>
      </w:r>
      <w:r>
        <w:t xml:space="preserve">Sarah Tan, Director of Sales &amp; Business Development (Malaysia) |</w:t>
      </w:r>
      <w:r>
        <w:t xml:space="preserve"> </w:t>
      </w:r>
      <w:r>
        <w:rPr>
          <w:bCs/>
          <w:b/>
        </w:rPr>
        <w:t xml:space="preserve">Contact:</w:t>
      </w:r>
      <w:r>
        <w:t xml:space="preserve"> </w:t>
      </w:r>
      <w:r>
        <w:t xml:space="preserve">sarah.tan@auditmalaysia.com.my</w:t>
      </w:r>
    </w:p>
    <w:p>
      <w:pPr>
        <w:pStyle w:val="BodyText"/>
      </w:pPr>
      <w:r>
        <w:t xml:space="preserve">"In the dynamic business ecosystem of Kuala Lumpur, the role of an Auditor has evolved from compliance requirement to strategic advantage. Our sales success proves that when audits are positioned as growth accelerators—not just regulatory checkboxes—the entire Malaysian market takes notice." — Sarah Tan,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Auditor Services in Malaysia Kuala Lumpur</dc:title>
  <dc:creator/>
  <dc:language>en</dc:language>
  <cp:keywords/>
  <dcterms:created xsi:type="dcterms:W3CDTF">2026-07-21T03:25:20Z</dcterms:created>
  <dcterms:modified xsi:type="dcterms:W3CDTF">2026-07-21T03:25:20Z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