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Review</w:t>
      </w:r>
      <w:r>
        <w:t xml:space="preserve"> </w:t>
      </w:r>
      <w:r>
        <w:t xml:space="preserve">-</w:t>
      </w:r>
      <w:r>
        <w:t xml:space="preserve"> </w:t>
      </w:r>
      <w:r>
        <w:t xml:space="preserve">Mexico</w:t>
      </w:r>
      <w:r>
        <w:t xml:space="preserve"> </w:t>
      </w:r>
      <w:r>
        <w:t xml:space="preserve">Mexico</w:t>
      </w:r>
      <w:r>
        <w:t xml:space="preserve"> </w:t>
      </w:r>
      <w:r>
        <w:t xml:space="preserve">City</w:t>
      </w:r>
    </w:p>
    <w:bookmarkStart w:id="27" w:name="X392632829f77095434a53638abd1b560915d8a4"/>
    <w:p>
      <w:pPr>
        <w:pStyle w:val="Heading1"/>
      </w:pPr>
      <w:r>
        <w:t xml:space="preserve">SALES REPORT: AUDITOR PERFORMANCE AND REVENUE ANALYSIS - MEXICO MEXICO CITY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Division</w:t>
      </w:r>
      <w:r>
        <w:br/>
      </w:r>
      <w:r>
        <w:rPr>
          <w:bCs/>
          <w:b/>
        </w:rPr>
        <w:t xml:space="preserve">Prepared By:</w:t>
      </w:r>
      <w:r>
        <w:t xml:space="preserve"> </w:t>
      </w:r>
      <w:r>
        <w:t xml:space="preserve">María González, Senior Auditor &amp; Sales Performance Analyst</w:t>
      </w:r>
      <w:r>
        <w:br/>
      </w:r>
      <w:r>
        <w:rPr>
          <w:bCs/>
          <w:b/>
        </w:rPr>
        <w:t xml:space="preserve">Region Covered:</w:t>
      </w:r>
      <w:r>
        <w:t xml:space="preserve"> </w:t>
      </w:r>
      <w:r>
        <w:t xml:space="preserve">Mexico City Metropolitan Area (Including Ciudad de México and surrounding municipalities)</w:t>
      </w:r>
    </w:p>
    <w:bookmarkStart w:id="20" w:name="i.-executive-summary"/>
    <w:p>
      <w:pPr>
        <w:pStyle w:val="Heading2"/>
      </w:pPr>
      <w:r>
        <w:t xml:space="preserve">I. Executive Summary</w:t>
      </w:r>
    </w:p>
    <w:p>
      <w:pPr>
        <w:pStyle w:val="FirstParagraph"/>
      </w:pPr>
      <w:r>
        <w:t xml:space="preserve">This comprehensive Sales Report details the performance audit conducted across all major sales channels within Mexico Mexico City during Q3 2023. As the designated Auditor for this critical market, I have analyzed 14,789 sales transactions totaling $8.2 million USD, covering both B2B and B2C segments. The findings reveal significant growth opportunities alongside compliance risks requiring immediate attention. This document serves as the official Sales Report from the Mexico Mexico City Auditor team, confirming that while revenue targets were exceeded by 12%, critical gaps in sales documentation and tax compliance present systemic vulnerabilities.</w:t>
      </w:r>
    </w:p>
    <w:bookmarkEnd w:id="20"/>
    <w:bookmarkStart w:id="21" w:name="ii.-audit-methodology-scope"/>
    <w:p>
      <w:pPr>
        <w:pStyle w:val="Heading2"/>
      </w:pPr>
      <w:r>
        <w:t xml:space="preserve">II. Audit Methodology &amp; Scope</w:t>
      </w:r>
    </w:p>
    <w:p>
      <w:pPr>
        <w:pStyle w:val="FirstParagraph"/>
      </w:pPr>
      <w:r>
        <w:t xml:space="preserve">The scope of this Auditor review encompassed all sales operations within the Mexico Mexico City territory from July 1 to September 30, 2023. The process included:</w:t>
      </w:r>
    </w:p>
    <w:p>
      <w:pPr>
        <w:numPr>
          <w:ilvl w:val="0"/>
          <w:numId w:val="1001"/>
        </w:numPr>
        <w:pStyle w:val="Compact"/>
      </w:pPr>
      <w:r>
        <w:t xml:space="preserve">Transaction-level verification of all POS systems across 47 retail locations and corporate offices</w:t>
      </w:r>
    </w:p>
    <w:p>
      <w:pPr>
        <w:numPr>
          <w:ilvl w:val="0"/>
          <w:numId w:val="1001"/>
        </w:numPr>
        <w:pStyle w:val="Compact"/>
      </w:pPr>
      <w:r>
        <w:t xml:space="preserve">Compliance check against Mexican tax regulations (ISR, IVA) for all invoices</w:t>
      </w:r>
    </w:p>
    <w:p>
      <w:pPr>
        <w:numPr>
          <w:ilvl w:val="0"/>
          <w:numId w:val="1001"/>
        </w:numPr>
        <w:pStyle w:val="Compact"/>
      </w:pPr>
      <w:r>
        <w:t xml:space="preserve">Analysis of sales team KPIs including conversion rates, average transaction value, and customer retention</w:t>
      </w:r>
    </w:p>
    <w:p>
      <w:pPr>
        <w:numPr>
          <w:ilvl w:val="0"/>
          <w:numId w:val="1001"/>
        </w:numPr>
        <w:pStyle w:val="Compact"/>
      </w:pPr>
      <w:r>
        <w:t xml:space="preserve">Validation of CRM data against physical sales records at 10 randomly selected locations daily</w:t>
      </w:r>
    </w:p>
    <w:p>
      <w:pPr>
        <w:pStyle w:val="FirstParagraph"/>
      </w:pPr>
      <w:r>
        <w:t xml:space="preserve">This rigorous approach ensured the Mexico City Sales Report maintains strict adherence to both local regulations and global corporate standards. The Auditor team deployed blockchain-based digital ledgers for real-time verification, a first for our operations in Mexico Mexico City.</w:t>
      </w:r>
    </w:p>
    <w:bookmarkEnd w:id="21"/>
    <w:bookmarkStart w:id="22" w:name="X8ce3ea9111fb85de94d118b86f81bb58f0562d3"/>
    <w:p>
      <w:pPr>
        <w:pStyle w:val="Heading2"/>
      </w:pPr>
      <w:r>
        <w:t xml:space="preserve">III. Key Performance Metrics (Mexico Mexico City)</w:t>
      </w:r>
    </w:p>
    <w:p>
      <w:pPr>
        <w:pStyle w:val="FirstParagraph"/>
      </w:pPr>
      <w:r>
        <w:t xml:space="preserve">KPI</w:t>
      </w:r>
    </w:p>
    <w:p>
      <w:pPr>
        <w:pStyle w:val="BodyText"/>
      </w:pPr>
      <w:r>
        <w:t xml:space="preserve">Q3 2023 Actual</w:t>
      </w:r>
    </w:p>
    <w:p>
      <w:pPr>
        <w:pStyle w:val="BodyText"/>
      </w:pPr>
      <w:r>
        <w:t xml:space="preserve">Target</w:t>
      </w:r>
    </w:p>
    <w:p>
      <w:pPr>
        <w:pStyle w:val="BodyText"/>
      </w:pPr>
      <w:r>
        <w:t xml:space="preserve">Variance</w:t>
      </w:r>
    </w:p>
    <w:p>
      <w:pPr>
        <w:pStyle w:val="BodyText"/>
      </w:pPr>
      <w:r>
        <w:t xml:space="preserve">Total Revenue</w:t>
      </w:r>
    </w:p>
    <w:p>
      <w:pPr>
        <w:pStyle w:val="BodyText"/>
      </w:pPr>
      <w:r>
        <w:t xml:space="preserve">$8,175,402 USD</w:t>
      </w:r>
    </w:p>
    <w:p>
      <w:pPr>
        <w:pStyle w:val="BodyText"/>
      </w:pPr>
      <w:r>
        <w:t xml:space="preserve">$7,300,000 USD</w:t>
      </w:r>
    </w:p>
    <w:p>
      <w:pPr>
        <w:pStyle w:val="BodyText"/>
      </w:pPr>
      <w:r>
        <w:t xml:space="preserve">+12.9%</w:t>
      </w:r>
    </w:p>
    <w:p>
      <w:pPr>
        <w:pStyle w:val="BodyText"/>
      </w:pPr>
      <w:r>
        <w:t xml:space="preserve">Monthly Growth Rate</w:t>
      </w:r>
    </w:p>
    <w:p>
      <w:pPr>
        <w:pStyle w:val="BodyText"/>
      </w:pPr>
      <w:r>
        <w:t xml:space="preserve">&lt;</w:t>
      </w:r>
    </w:p>
    <w:p>
      <w:pPr>
        <w:pStyle w:val="BodyText"/>
      </w:pPr>
      <w:r>
        <w:t xml:space="preserve">8.7%6.5%+2.2%</w:t>
      </w:r>
    </w:p>
    <w:p>
      <w:pPr>
        <w:pStyle w:val="BodyText"/>
      </w:pPr>
      <w:r>
        <w:t xml:space="preserve">Invoice Compliance Rate</w:t>
      </w:r>
    </w:p>
    <w:p>
      <w:pPr>
        <w:pStyle w:val="BodyText"/>
      </w:pPr>
      <w:r>
        <w:t xml:space="preserve">84.3%95%-10.7% (Critical Gap)</w:t>
      </w:r>
    </w:p>
    <w:p>
      <w:pPr>
        <w:pStyle w:val="BodyText"/>
      </w:pPr>
      <w:r>
        <w:t xml:space="preserve">Avg. Transaction Value</w:t>
      </w:r>
    </w:p>
    <w:p>
      <w:pPr>
        <w:pStyle w:val="BodyText"/>
      </w:pPr>
      <w:r>
        <w:t xml:space="preserve">$217 USD$205 USD+6.3%</w:t>
      </w:r>
    </w:p>
    <w:bookmarkEnd w:id="22"/>
    <w:bookmarkStart w:id="23" w:name="X5bc9c7a195a01a8be0b87c420aaec16fa3c3989"/>
    <w:p>
      <w:pPr>
        <w:pStyle w:val="Heading2"/>
      </w:pPr>
      <w:r>
        <w:t xml:space="preserve">IV. Critical Findings: The Auditor's Assessment</w:t>
      </w:r>
    </w:p>
    <w:p>
      <w:pPr>
        <w:pStyle w:val="FirstParagraph"/>
      </w:pPr>
      <w:r>
        <w:rPr>
          <w:bCs/>
          <w:b/>
        </w:rPr>
        <w:t xml:space="preserve">A. Revenue Growth Success (Positive Audit Outcome)</w:t>
      </w:r>
      <w:r>
        <w:br/>
      </w:r>
      <w:r>
        <w:t xml:space="preserve">Mexico Mexico City achieved exceptional market penetration, particularly in the technology and premium consumer goods segments. This growth directly resulted from the successful implementation of our localized sales strategy by regional teams. The $8.2M revenue represents a 19% year-over-year increase – making this the highest-performing metropolitan market in Latin America.</w:t>
      </w:r>
    </w:p>
    <w:p>
      <w:pPr>
        <w:pStyle w:val="BodyText"/>
      </w:pPr>
      <w:r>
        <w:rPr>
          <w:bCs/>
          <w:b/>
        </w:rPr>
        <w:t xml:space="preserve">B. Systemic Compliance Risks (Major Auditor Concern)</w:t>
      </w:r>
      <w:r>
        <w:br/>
      </w:r>
      <w:r>
        <w:t xml:space="preserve">Our audit identified a serious compliance issue: 15.7% of invoices lacked proper Mexican tax identification numbers (RFC), violating Article 28 of the Federal Tax Code. This creates substantial legal exposure for our Mexico Mexico City operations, with potential penalties up to $340,000 USD per violation. The Auditor has documented all non-compliant transactions in Appendix A.</w:t>
      </w:r>
    </w:p>
    <w:p>
      <w:pPr>
        <w:pStyle w:val="BodyText"/>
      </w:pPr>
      <w:r>
        <w:rPr>
          <w:bCs/>
          <w:b/>
        </w:rPr>
        <w:t xml:space="preserve">C. Data Integrity Issues (Critical Finding)</w:t>
      </w:r>
      <w:r>
        <w:br/>
      </w:r>
      <w:r>
        <w:t xml:space="preserve">In 22% of CRM entries, sales figures did not match physical cash register reports at the point of sale. This discrepancy occurred primarily at high-volume locations like Polanco and Reforma, where manual entry processes were still used alongside digital systems. As an Auditor, I confirm this is a systemic process failure requiring immediate correction.</w:t>
      </w:r>
    </w:p>
    <w:bookmarkEnd w:id="23"/>
    <w:bookmarkStart w:id="24" w:name="X13ea0a25baf6c5540003621790c6ff4c9055f30"/>
    <w:p>
      <w:pPr>
        <w:pStyle w:val="Heading2"/>
      </w:pPr>
      <w:r>
        <w:t xml:space="preserve">V. Actionable Recommendations (From Mexico City Auditor)</w:t>
      </w:r>
    </w:p>
    <w:p>
      <w:pPr>
        <w:pStyle w:val="FirstParagraph"/>
      </w:pPr>
      <w:r>
        <w:t xml:space="preserve">Based on this Sales Report, the following actions are urgently required for the Mexico Mexico City market:</w:t>
      </w:r>
    </w:p>
    <w:p>
      <w:pPr>
        <w:numPr>
          <w:ilvl w:val="0"/>
          <w:numId w:val="1002"/>
        </w:numPr>
        <w:pStyle w:val="Compact"/>
      </w:pPr>
      <w:r>
        <w:rPr>
          <w:bCs/>
          <w:b/>
        </w:rPr>
        <w:t xml:space="preserve">Implement Mandatory Tax Compliance Training</w:t>
      </w:r>
      <w:r>
        <w:br/>
      </w:r>
      <w:r>
        <w:t xml:space="preserve">All sales staff and managers in Mexico City must complete certified tax compliance training within 30 days. This will address the RFC documentation gap identified by our Auditor team.</w:t>
      </w:r>
    </w:p>
    <w:p>
      <w:pPr>
        <w:numPr>
          <w:ilvl w:val="0"/>
          <w:numId w:val="1002"/>
        </w:numPr>
        <w:pStyle w:val="Compact"/>
      </w:pPr>
      <w:r>
        <w:rPr>
          <w:bCs/>
          <w:b/>
        </w:rPr>
        <w:t xml:space="preserve">Deploy Integrated POS System Upgrade</w:t>
      </w:r>
      <w:r>
        <w:br/>
      </w:r>
      <w:r>
        <w:t xml:space="preserve">Replace legacy point-of-sale systems at all 47 locations with cloud-based solutions that auto-generate compliant invoices. The Mexico Mexico City office has approved a $125,000 budget for this critical upgrade.</w:t>
      </w:r>
    </w:p>
    <w:p>
      <w:pPr>
        <w:numPr>
          <w:ilvl w:val="0"/>
          <w:numId w:val="1002"/>
        </w:numPr>
        <w:pStyle w:val="Compact"/>
      </w:pPr>
      <w:r>
        <w:rPr>
          <w:bCs/>
          <w:b/>
        </w:rPr>
        <w:t xml:space="preserve">Establish Monthly Sales Reconciliation Protocol</w:t>
      </w:r>
      <w:r>
        <w:br/>
      </w:r>
      <w:r>
        <w:t xml:space="preserve">Implement bi-weekly audits of sales data by the Mexico City Auditor team, reconciling physical receipts with digital records before month-end closing. This will prevent future data integrity issues.</w:t>
      </w:r>
    </w:p>
    <w:p>
      <w:pPr>
        <w:numPr>
          <w:ilvl w:val="0"/>
          <w:numId w:val="1002"/>
        </w:numPr>
        <w:pStyle w:val="Compact"/>
      </w:pPr>
      <w:r>
        <w:rPr>
          <w:bCs/>
          <w:b/>
        </w:rPr>
        <w:t xml:space="preserve">Develop Local Sales Incentive Structure</w:t>
      </w:r>
      <w:r>
        <w:br/>
      </w:r>
      <w:r>
        <w:t xml:space="preserve">Create performance-based incentives for sales teams that reward compliance (e.g., 5% bonus for 100% RFC-compliant invoices), directly linking sales success to regulatory adherence.</w:t>
      </w:r>
    </w:p>
    <w:bookmarkEnd w:id="24"/>
    <w:bookmarkStart w:id="25" w:name="X6d18a0fdc6f2cb06097fcebc3aae37f60a377f8"/>
    <w:p>
      <w:pPr>
        <w:pStyle w:val="Heading2"/>
      </w:pPr>
      <w:r>
        <w:t xml:space="preserve">VI. Conclusion: The Auditor's Final Assessment</w:t>
      </w:r>
    </w:p>
    <w:p>
      <w:pPr>
        <w:pStyle w:val="FirstParagraph"/>
      </w:pPr>
      <w:r>
        <w:t xml:space="preserve">This Sales Report confirms that the Mexico Mexico City market is a high-value, high-potential region generating exceptional revenue growth. However, the compliance gaps identified represent an unacceptable risk to our global operations. As your dedicated Auditor for this market, I emphasize that regulatory non-compliance poses greater financial and reputational risk than any temporary revenue shortfall.</w:t>
      </w:r>
    </w:p>
    <w:p>
      <w:pPr>
        <w:pStyle w:val="BodyText"/>
      </w:pPr>
      <w:r>
        <w:t xml:space="preserve">Immediate implementation of these recommendations will position Mexico Mexico City as a model for compliant sales operations across all Latin American markets. The 12.9% revenue growth proves our market strategy works – now we must ensure every transaction meets the highest regulatory standards. The Auditor team remains available for ongoing support and will provide quarterly compliance validation reports moving forward.</w:t>
      </w:r>
    </w:p>
    <w:p>
      <w:pPr>
        <w:pStyle w:val="BodyText"/>
      </w:pPr>
      <w:r>
        <w:rPr>
          <w:bCs/>
          <w:b/>
        </w:rPr>
        <w:t xml:space="preserve">Final Note from the Mexico City Auditor:</w:t>
      </w:r>
      <w:r>
        <w:t xml:space="preserve"> </w:t>
      </w:r>
      <w:r>
        <w:t xml:space="preserve">"Growth without compliance is unsustainable. Our Sales Report demonstrates that Mexico Mexico City can lead in both revenue excellence and regulatory integrity – we must make it our priority."</w:t>
      </w:r>
    </w:p>
    <w:bookmarkEnd w:id="25"/>
    <w:bookmarkStart w:id="26" w:name="vii.-appendices"/>
    <w:p>
      <w:pPr>
        <w:pStyle w:val="Heading2"/>
      </w:pPr>
      <w:r>
        <w:t xml:space="preserve">VII. Appendices</w:t>
      </w:r>
    </w:p>
    <w:p>
      <w:pPr>
        <w:numPr>
          <w:ilvl w:val="0"/>
          <w:numId w:val="1003"/>
        </w:numPr>
        <w:pStyle w:val="Compact"/>
      </w:pPr>
      <w:r>
        <w:t xml:space="preserve">Appendix A: Full List of Non-Compliant Invoices (Mexico City Audit Log)</w:t>
      </w:r>
    </w:p>
    <w:p>
      <w:pPr>
        <w:numPr>
          <w:ilvl w:val="0"/>
          <w:numId w:val="1003"/>
        </w:numPr>
        <w:pStyle w:val="Compact"/>
      </w:pPr>
      <w:r>
        <w:t xml:space="preserve">Appendix B: Tax Compliance Training Curriculum (Certified by Mexican Tax Authority)</w:t>
      </w:r>
    </w:p>
    <w:p>
      <w:pPr>
        <w:numPr>
          <w:ilvl w:val="0"/>
          <w:numId w:val="1003"/>
        </w:numPr>
        <w:pStyle w:val="Compact"/>
      </w:pPr>
      <w:r>
        <w:t xml:space="preserve">Appendix C: POS Upgrade Implementation Timeline</w:t>
      </w:r>
    </w:p>
    <w:p>
      <w:pPr>
        <w:pStyle w:val="FirstParagraph"/>
      </w:pPr>
      <w:r>
        <w:rPr>
          <w:bCs/>
          <w:b/>
        </w:rPr>
        <w:t xml:space="preserve">End of Sales Report - Mexico Mexico City Auditor Performance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Review - Mexico Mexico City</dc:title>
  <dc:creator/>
  <dc:language>en</dc:language>
  <cp:keywords/>
  <dcterms:created xsi:type="dcterms:W3CDTF">2026-07-21T14:11:19Z</dcterms:created>
  <dcterms:modified xsi:type="dcterms:W3CDTF">2026-07-21T14:11:19Z</dcterms:modified>
</cp:coreProperties>
</file>

<file path=docProps/custom.xml><?xml version="1.0" encoding="utf-8"?>
<Properties xmlns="http://schemas.openxmlformats.org/officeDocument/2006/custom-properties" xmlns:vt="http://schemas.openxmlformats.org/officeDocument/2006/docPropsVTypes"/>
</file>