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Auditor</w:t>
      </w:r>
      <w:r>
        <w:t xml:space="preserve"> </w:t>
      </w:r>
      <w:r>
        <w:t xml:space="preserve">Performance</w:t>
      </w:r>
      <w:r>
        <w:t xml:space="preserve"> </w:t>
      </w:r>
      <w:r>
        <w:t xml:space="preserve">in</w:t>
      </w:r>
      <w:r>
        <w:t xml:space="preserve"> </w:t>
      </w:r>
      <w:r>
        <w:t xml:space="preserve">Morocco</w:t>
      </w:r>
      <w:r>
        <w:t xml:space="preserve"> </w:t>
      </w:r>
      <w:r>
        <w:t xml:space="preserve">Casablanca</w:t>
      </w:r>
    </w:p>
    <w:bookmarkStart w:id="31" w:name="X5fd45f70205229190e14836b6dc2a49a8eba38a"/>
    <w:p>
      <w:pPr>
        <w:pStyle w:val="Heading1"/>
      </w:pPr>
      <w:r>
        <w:t xml:space="preserve">Sales Report: Comprehensive Audit Services Performance Analysis for Morocco Casablanca Market</w:t>
      </w:r>
    </w:p>
    <w:p>
      <w:pPr>
        <w:pStyle w:val="FirstParagraph"/>
      </w:pPr>
      <w:r>
        <w:rPr>
          <w:bCs/>
          <w:b/>
        </w:rPr>
        <w:t xml:space="preserve">Prepared For:</w:t>
      </w:r>
      <w:r>
        <w:t xml:space="preserve"> </w:t>
      </w:r>
      <w:r>
        <w:t xml:space="preserve">Executive Management, Global Audit Division</w:t>
      </w:r>
      <w:r>
        <w:br/>
      </w:r>
      <w:r>
        <w:rPr>
          <w:bCs/>
          <w:b/>
        </w:rPr>
        <w:t xml:space="preserve">Prepared By:</w:t>
      </w:r>
      <w:r>
        <w:t xml:space="preserve"> </w:t>
      </w:r>
      <w:r>
        <w:t xml:space="preserve">Business Development &amp; Sales Intelligence Unit</w:t>
      </w:r>
      <w:r>
        <w:br/>
      </w:r>
      <w:r>
        <w:rPr>
          <w:bCs/>
          <w:b/>
        </w:rPr>
        <w:t xml:space="preserve">Date:</w:t>
      </w:r>
      <w:r>
        <w:t xml:space="preserve"> </w:t>
      </w:r>
      <w:r>
        <w:t xml:space="preserve">October 26, 2023</w:t>
      </w:r>
      <w:r>
        <w:br/>
      </w:r>
      <w:r>
        <w:rPr>
          <w:bCs/>
          <w:b/>
        </w:rPr>
        <w:t xml:space="preserve">Report Period:</w:t>
      </w:r>
      <w:r>
        <w:t xml:space="preserve"> </w:t>
      </w:r>
      <w:r>
        <w:t xml:space="preserve">Q3 2023 (July 1 - September 30, 2023)</w:t>
      </w:r>
    </w:p>
    <w:bookmarkStart w:id="20" w:name="executive-summary"/>
    <w:p>
      <w:pPr>
        <w:pStyle w:val="Heading2"/>
      </w:pPr>
      <w:r>
        <w:t xml:space="preserve">Executive Summary</w:t>
      </w:r>
    </w:p>
    <w:p>
      <w:pPr>
        <w:pStyle w:val="FirstParagraph"/>
      </w:pPr>
      <w:r>
        <w:t xml:space="preserve">This Sales Report provides an in-depth analysis of our auditor services performance across Morocco Casablanca during the third quarter of 2023. As the premier financial oversight provider in North Africa, our Casablanca operations delivered exceptional growth, achieving a 19.7% year-over-year increase in audit service sales volume while securing three major multinational client acquisitions. The strategic focus on Morocco Casablanca as our operational hub for West African markets has proven instrumental in capturing 32% of the region's high-value audit contracts, solidifying our position as the leading auditor in this critical economic corridor.</w:t>
      </w:r>
    </w:p>
    <w:bookmarkEnd w:id="20"/>
    <w:bookmarkStart w:id="21" w:name="Xaecf1dd4c6ce7c732b6a5ad56619babe35152e8"/>
    <w:p>
      <w:pPr>
        <w:pStyle w:val="Heading2"/>
      </w:pPr>
      <w:r>
        <w:t xml:space="preserve">Market Context: Why Morocco Casablanca Matters</w:t>
      </w:r>
    </w:p>
    <w:p>
      <w:pPr>
        <w:pStyle w:val="FirstParagraph"/>
      </w:pPr>
      <w:r>
        <w:t xml:space="preserve">Casablanca represents more than just a geographical location—it is the commercial epicenter of Morocco and a strategic gateway to Africa. With 40% of Morocco's GDP generated within this metropolitan region, our auditor services directly impact over 8,500 businesses spanning manufacturing, finance, and export sectors. The Moroccan government's recent tax transparency reforms and ESG compliance mandates have created unprecedented demand for certified audit solutions. As the largest urban center in Africa north of the Sahara (population: 4.6 million), Morocco Casablanca presents a unique market where international accounting standards converge with local business practices, making it indispensable for any global auditor seeking regional dominance.</w:t>
      </w:r>
    </w:p>
    <w:bookmarkEnd w:id="21"/>
    <w:bookmarkStart w:id="22" w:name="q3-sales-performance-highlights"/>
    <w:p>
      <w:pPr>
        <w:pStyle w:val="Heading2"/>
      </w:pPr>
      <w:r>
        <w:t xml:space="preserve">Q3 Sales Performance Highlights</w:t>
      </w:r>
    </w:p>
    <w:p>
      <w:pPr>
        <w:pStyle w:val="FirstParagraph"/>
      </w:pPr>
      <w:r>
        <w:t xml:space="preserve">KPI</w:t>
      </w:r>
    </w:p>
    <w:p>
      <w:pPr>
        <w:pStyle w:val="BodyText"/>
      </w:pPr>
      <w:r>
        <w:t xml:space="preserve">Q3 2023</w:t>
      </w:r>
    </w:p>
    <w:p>
      <w:pPr>
        <w:pStyle w:val="BodyText"/>
      </w:pPr>
      <w:r>
        <w:t xml:space="preserve">YoY Change</w:t>
      </w:r>
    </w:p>
    <w:p>
      <w:pPr>
        <w:pStyle w:val="BodyText"/>
      </w:pPr>
      <w:r>
        <w:t xml:space="preserve">Market Share (Casablanca)</w:t>
      </w:r>
    </w:p>
    <w:p>
      <w:pPr>
        <w:pStyle w:val="BodyText"/>
      </w:pPr>
      <w:r>
        <w:t xml:space="preserve">Total Audit Contracts Secured</w:t>
      </w:r>
    </w:p>
    <w:p>
      <w:pPr>
        <w:pStyle w:val="BodyText"/>
      </w:pPr>
      <w:r>
        <w:t xml:space="preserve">47</w:t>
      </w:r>
    </w:p>
    <w:p>
      <w:pPr>
        <w:pStyle w:val="BodyText"/>
      </w:pPr>
      <w:r>
        <w:t xml:space="preserve">+19.7%</w:t>
      </w:r>
    </w:p>
    <w:p>
      <w:pPr>
        <w:pStyle w:val="BodyText"/>
      </w:pPr>
      <w:r>
        <w:t xml:space="preserve">32% (up 8.2 pts)</w:t>
      </w:r>
    </w:p>
    <w:p>
      <w:pPr>
        <w:pStyle w:val="BodyText"/>
      </w:pPr>
      <w:r>
        <w:t xml:space="preserve">Average Deal Size ($)</w:t>
      </w:r>
    </w:p>
    <w:p>
      <w:pPr>
        <w:pStyle w:val="BodyText"/>
      </w:pPr>
      <w:r>
        <w:t xml:space="preserve">215,000</w:t>
      </w:r>
    </w:p>
    <w:p>
      <w:pPr>
        <w:pStyle w:val="BodyText"/>
      </w:pPr>
      <w:r>
        <w:t xml:space="preserve">+12.3%</w:t>
      </w:r>
    </w:p>
    <w:p>
      <w:pPr>
        <w:pStyle w:val="BodyText"/>
      </w:pPr>
      <w:r>
        <w:t xml:space="preserve">New Client Acquisition Rate</w:t>
      </w:r>
    </w:p>
    <w:p>
      <w:pPr>
        <w:pStyle w:val="BodyText"/>
      </w:pPr>
      <w:r>
        <w:t xml:space="preserve">38%</w:t>
      </w:r>
    </w:p>
    <w:p>
      <w:pPr>
        <w:pStyle w:val="BodyText"/>
      </w:pPr>
      <w:r>
        <w:t xml:space="preserve">+9.5 pts</w:t>
      </w:r>
    </w:p>
    <w:p>
      <w:pPr>
        <w:pStyle w:val="BodyText"/>
      </w:pPr>
      <w:r>
        <w:t xml:space="preserve">Client Retention Rate</w:t>
      </w:r>
    </w:p>
    <w:p>
      <w:pPr>
        <w:pStyle w:val="BodyText"/>
      </w:pPr>
      <w:r>
        <w:t xml:space="preserve">94.2%</w:t>
      </w:r>
    </w:p>
    <w:p>
      <w:pPr>
        <w:pStyle w:val="BodyText"/>
      </w:pPr>
      <w:r>
        <w:t xml:space="preserve">+3.1 pts</w:t>
      </w:r>
    </w:p>
    <w:p>
      <w:pPr>
        <w:pStyle w:val="BodyText"/>
      </w:pPr>
      <w:r>
        <w:t xml:space="preserve">The Moroccan Casablanca market demonstrated remarkable resilience despite regional economic headwinds. Our auditor team achieved record-breaking sales by strategically aligning with Morocco's National Strategy for Business Modernization (2023-2030), particularly targeting SMEs transitioning to IFRS standards. Notable wins include:</w:t>
      </w:r>
    </w:p>
    <w:p>
      <w:pPr>
        <w:numPr>
          <w:ilvl w:val="0"/>
          <w:numId w:val="1001"/>
        </w:numPr>
        <w:pStyle w:val="Compact"/>
      </w:pPr>
      <w:r>
        <w:t xml:space="preserve">Multi-year audit contract with Maroc Telecom (revenue: $1.8M), the largest telecommunications provider in West Africa</w:t>
      </w:r>
    </w:p>
    <w:p>
      <w:pPr>
        <w:numPr>
          <w:ilvl w:val="0"/>
          <w:numId w:val="1001"/>
        </w:numPr>
        <w:pStyle w:val="Compact"/>
      </w:pPr>
      <w:r>
        <w:t xml:space="preserve">Certification package for 23 manufacturing subsidiaries under the Casablanca Finance City initiative</w:t>
      </w:r>
    </w:p>
    <w:p>
      <w:pPr>
        <w:numPr>
          <w:ilvl w:val="0"/>
          <w:numId w:val="1001"/>
        </w:numPr>
        <w:pStyle w:val="Compact"/>
      </w:pPr>
      <w:r>
        <w:t xml:space="preserve">ESG compliance audit mandate for a $400M renewable energy consortium operating across Maghreb countries</w:t>
      </w:r>
    </w:p>
    <w:bookmarkEnd w:id="22"/>
    <w:bookmarkStart w:id="26" w:name="Xa7d4b80c7bdd58a893ef01be472de30e50c584f"/>
    <w:p>
      <w:pPr>
        <w:pStyle w:val="Heading2"/>
      </w:pPr>
      <w:r>
        <w:t xml:space="preserve">Strategic Initiatives Driving Sales Success</w:t>
      </w:r>
    </w:p>
    <w:p>
      <w:pPr>
        <w:pStyle w:val="FirstParagraph"/>
      </w:pPr>
      <w:r>
        <w:t xml:space="preserve">Our Morocco Casablanca auditor team implemented three targeted initiatives that directly influenced sales outcomes:</w:t>
      </w:r>
    </w:p>
    <w:bookmarkStart w:id="23" w:name="X2788f8218722e6b34529515b162dfb52e84e18e"/>
    <w:p>
      <w:pPr>
        <w:pStyle w:val="Heading3"/>
      </w:pPr>
      <w:r>
        <w:t xml:space="preserve">1. Localized Compliance Framework Development</w:t>
      </w:r>
    </w:p>
    <w:p>
      <w:pPr>
        <w:pStyle w:val="FirstParagraph"/>
      </w:pPr>
      <w:r>
        <w:t xml:space="preserve">We established the first Africa-certified compliance center in Casablanca, staffed by dual-qualified auditors (ICAEW + Moroccan Certified Accountants). This enabled us to deliver audit reports compliant with both Moroccan Financial Audit Law No. 34-07 and international standards (ISA), addressing a critical client pain point. The initiative captured 28% of new enterprise contracts in Q3.</w:t>
      </w:r>
    </w:p>
    <w:bookmarkEnd w:id="23"/>
    <w:bookmarkStart w:id="24" w:name="digital-transformation-partnerships"/>
    <w:p>
      <w:pPr>
        <w:pStyle w:val="Heading3"/>
      </w:pPr>
      <w:r>
        <w:t xml:space="preserve">2. Digital Transformation Partnerships</w:t>
      </w:r>
    </w:p>
    <w:p>
      <w:pPr>
        <w:pStyle w:val="FirstParagraph"/>
      </w:pPr>
      <w:r>
        <w:t xml:space="preserve">In collaboration with Morocco's Digital Transformation Office, our Casablanca auditor team integrated AI-driven risk assessment tools into client onboarding processes. This reduced audit preparation time by 40% and became a key selling point, particularly for tech-forward businesses in the Casablanca Technopark ecosystem.</w:t>
      </w:r>
    </w:p>
    <w:bookmarkEnd w:id="24"/>
    <w:bookmarkStart w:id="25" w:name="esg-integration-service-line"/>
    <w:p>
      <w:pPr>
        <w:pStyle w:val="Heading3"/>
      </w:pPr>
      <w:r>
        <w:t xml:space="preserve">3. ESG Integration Service Line</w:t>
      </w:r>
    </w:p>
    <w:p>
      <w:pPr>
        <w:pStyle w:val="FirstParagraph"/>
      </w:pPr>
      <w:r>
        <w:t xml:space="preserve">Recognizing Morocco's ambitious carbon neutrality goals (2050), we launched specialized ESG audit services in July 2023. The Casablanca market responded immediately, generating $680K in sales within three months—representing 17% of total Q3 revenue. This positioned us as the only auditor offering full sustainability certification compliant with Morocco's National Climate Strategy.</w:t>
      </w:r>
    </w:p>
    <w:bookmarkEnd w:id="25"/>
    <w:bookmarkEnd w:id="26"/>
    <w:bookmarkStart w:id="27" w:name="challenges-and-mitigation-strategies"/>
    <w:p>
      <w:pPr>
        <w:pStyle w:val="Heading2"/>
      </w:pPr>
      <w:r>
        <w:t xml:space="preserve">Challenges and Mitigation Strategies</w:t>
      </w:r>
    </w:p>
    <w:p>
      <w:pPr>
        <w:pStyle w:val="FirstParagraph"/>
      </w:pPr>
      <w:r>
        <w:t xml:space="preserve">While performance exceeded targets, two challenges required immediate attention:</w:t>
      </w:r>
    </w:p>
    <w:p>
      <w:pPr>
        <w:numPr>
          <w:ilvl w:val="0"/>
          <w:numId w:val="1002"/>
        </w:numPr>
        <w:pStyle w:val="Compact"/>
      </w:pPr>
      <w:r>
        <w:rPr>
          <w:bCs/>
          <w:b/>
        </w:rPr>
        <w:t xml:space="preserve">Regulatory Complexity:</w:t>
      </w:r>
      <w:r>
        <w:t xml:space="preserve"> </w:t>
      </w:r>
      <w:r>
        <w:t xml:space="preserve">Multiple audit requirements across Moroccan regional zones (Dakhla, Rabat, Marrakech) created sales friction. Our Casablanca auditor hub established a centralized regulatory intelligence unit that streamlined compliance documentation, reducing onboarding time by 35%.</w:t>
      </w:r>
    </w:p>
    <w:p>
      <w:pPr>
        <w:numPr>
          <w:ilvl w:val="0"/>
          <w:numId w:val="1002"/>
        </w:numPr>
        <w:pStyle w:val="Compact"/>
      </w:pPr>
      <w:r>
        <w:rPr>
          <w:bCs/>
          <w:b/>
        </w:rPr>
        <w:t xml:space="preserve">Talent Competition:</w:t>
      </w:r>
      <w:r>
        <w:t xml:space="preserve"> </w:t>
      </w:r>
      <w:r>
        <w:t xml:space="preserve">High demand for specialized auditors in Morocco Casablanca led to 22% salary inflation for mid-level staff. We implemented a "Local Talent Accelerator" program, partnering with Hassan II University to fast-track certified accounting graduates, reducing recruitment costs by 18%.</w:t>
      </w:r>
    </w:p>
    <w:bookmarkEnd w:id="27"/>
    <w:bookmarkStart w:id="28" w:name="client-sentiment-analysis"/>
    <w:p>
      <w:pPr>
        <w:pStyle w:val="Heading2"/>
      </w:pPr>
      <w:r>
        <w:t xml:space="preserve">Client Sentiment Analysis</w:t>
      </w:r>
    </w:p>
    <w:p>
      <w:pPr>
        <w:pStyle w:val="FirstParagraph"/>
      </w:pPr>
      <w:r>
        <w:t xml:space="preserve">Post-audit surveys revealed exceptional client satisfaction (4.8/5 average rating), with particular praise for our Morocco Casablanca auditor team's cultural fluency:</w:t>
      </w:r>
    </w:p>
    <w:p>
      <w:pPr>
        <w:pStyle w:val="BlockText"/>
      </w:pPr>
      <w:r>
        <w:t xml:space="preserve">"Their understanding of Moroccan business etiquette during site visits made the audit process seamless. The Casablanca team didn't just check boxes—they became strategic partners in our compliance journey." - Senior Finance Director, Moroccan Industrial Consortium</w:t>
      </w:r>
    </w:p>
    <w:bookmarkEnd w:id="28"/>
    <w:bookmarkStart w:id="29" w:name="X1b14d0bfba71c71509d1205d4193ae5ca739c96"/>
    <w:p>
      <w:pPr>
        <w:pStyle w:val="Heading2"/>
      </w:pPr>
      <w:r>
        <w:t xml:space="preserve">Future Outlook for Morocco Casablanca Operations</w:t>
      </w:r>
    </w:p>
    <w:p>
      <w:pPr>
        <w:pStyle w:val="FirstParagraph"/>
      </w:pPr>
      <w:r>
        <w:t xml:space="preserve">With Morocco's economy projected to grow at 4.5% in 2024 (World Bank), we anticipate continued expansion of our audit services. Key priorities include:</w:t>
      </w:r>
    </w:p>
    <w:p>
      <w:pPr>
        <w:numPr>
          <w:ilvl w:val="0"/>
          <w:numId w:val="1003"/>
        </w:numPr>
        <w:pStyle w:val="Compact"/>
      </w:pPr>
      <w:r>
        <w:rPr>
          <w:bCs/>
          <w:b/>
        </w:rPr>
        <w:t xml:space="preserve">Expanding ESG Capabilities:</w:t>
      </w:r>
      <w:r>
        <w:t xml:space="preserve"> </w:t>
      </w:r>
      <w:r>
        <w:t xml:space="preserve">Launching carbon accounting services tailored for Moroccan manufacturing clusters</w:t>
      </w:r>
    </w:p>
    <w:p>
      <w:pPr>
        <w:numPr>
          <w:ilvl w:val="0"/>
          <w:numId w:val="1003"/>
        </w:numPr>
        <w:pStyle w:val="Compact"/>
      </w:pPr>
      <w:r>
        <w:rPr>
          <w:bCs/>
          <w:b/>
        </w:rPr>
        <w:t xml:space="preserve">Casablanca Innovation Hub:</w:t>
      </w:r>
      <w:r>
        <w:t xml:space="preserve"> </w:t>
      </w:r>
      <w:r>
        <w:t xml:space="preserve">Developing a dedicated sales center within Casablanca Finance City to serve North African clients</w:t>
      </w:r>
    </w:p>
    <w:p>
      <w:pPr>
        <w:numPr>
          <w:ilvl w:val="0"/>
          <w:numId w:val="1003"/>
        </w:numPr>
        <w:pStyle w:val="Compact"/>
      </w:pPr>
      <w:r>
        <w:rPr>
          <w:bCs/>
          <w:b/>
        </w:rPr>
        <w:t xml:space="preserve">Talent Expansion:</w:t>
      </w:r>
      <w:r>
        <w:t xml:space="preserve"> </w:t>
      </w:r>
      <w:r>
        <w:t xml:space="preserve">Adding 15 local auditors to our Morocco Casablanca team by Q2 2024</w:t>
      </w:r>
    </w:p>
    <w:bookmarkEnd w:id="29"/>
    <w:bookmarkStart w:id="30" w:name="X875ac100860107b1425c54320d078c20c1b64ff"/>
    <w:p>
      <w:pPr>
        <w:pStyle w:val="Heading2"/>
      </w:pPr>
      <w:r>
        <w:t xml:space="preserve">Conclusion: The Auditor Advantage in Morocco Casablanca</w:t>
      </w:r>
    </w:p>
    <w:p>
      <w:pPr>
        <w:pStyle w:val="FirstParagraph"/>
      </w:pPr>
      <w:r>
        <w:t xml:space="preserve">This Sales Report unequivocally demonstrates that our auditor services have become indispensable to business success in Morocco Casablanca. By embedding ourselves within the region's economic ecosystem—through localized compliance frameworks, digital innovation, and cultural intelligence—we've transformed audit engagements from compliance necessities into strategic growth catalysts. The 19.7% sales growth in Q3 is not merely a metric; it represents tangible proof that businesses in Morocco Casablanca recognize our auditor team as their most valuable partner for navigating complex financial landscapes.</w:t>
      </w:r>
    </w:p>
    <w:p>
      <w:pPr>
        <w:pStyle w:val="BodyText"/>
      </w:pPr>
      <w:r>
        <w:t xml:space="preserve">As we enter 2024, our commitment to Morocco Casablanca remains unwavering. The data confirms: when clients seek a trusted auditor in the heart of Moroccan commerce, they choose us. This Sales Report serves as both an achievement summary and a roadmap—proving that in the dynamic marketplace of Morocco Casablanca, strategic auditors don't just report on business performance; they actively drive it forward.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Auditor Performance in Morocco Casablanca</dc:title>
  <dc:creator/>
  <dc:language>en</dc:language>
  <cp:keywords/>
  <dcterms:created xsi:type="dcterms:W3CDTF">2026-07-21T13:13:41Z</dcterms:created>
  <dcterms:modified xsi:type="dcterms:W3CDTF">2026-07-21T13:13:41Z</dcterms:modified>
</cp:coreProperties>
</file>

<file path=docProps/custom.xml><?xml version="1.0" encoding="utf-8"?>
<Properties xmlns="http://schemas.openxmlformats.org/officeDocument/2006/custom-properties" xmlns:vt="http://schemas.openxmlformats.org/officeDocument/2006/docPropsVTypes"/>
</file>