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d6cd377ab9f62a667326e67c536224d95d76a18"/>
    <w:p>
      <w:pPr>
        <w:pStyle w:val="Heading1"/>
      </w:pPr>
      <w:r>
        <w:t xml:space="preserve">Sales Report: Comprehensive Audit of Sales Performance and Compliance in Myanmar Yangon</w:t>
      </w:r>
    </w:p>
    <w:p>
      <w:pPr>
        <w:pStyle w:val="FirstParagraph"/>
      </w:pPr>
      <w:r>
        <w:rPr>
          <w:bCs/>
          <w:b/>
        </w:rPr>
        <w:t xml:space="preserve">Prepared For:</w:t>
      </w:r>
      <w:r>
        <w:t xml:space="preserve"> </w:t>
      </w:r>
      <w:r>
        <w:t xml:space="preserve">Regional Sales Management, Myanmar Operations</w:t>
      </w:r>
      <w:r>
        <w:br/>
      </w:r>
      <w:r>
        <w:rPr>
          <w:bCs/>
          <w:b/>
        </w:rPr>
        <w:t xml:space="preserve">Prepared By:</w:t>
      </w:r>
      <w:r>
        <w:t xml:space="preserve"> </w:t>
      </w:r>
      <w:r>
        <w:t xml:space="preserve">Independent Sales Auditor &amp; Compliance Unit</w:t>
      </w:r>
      <w:r>
        <w:br/>
      </w:r>
      <w:r>
        <w:rPr>
          <w:bCs/>
          <w:b/>
        </w:rPr>
        <w:t xml:space="preserve">Date:</w:t>
      </w:r>
      <w:r>
        <w:t xml:space="preserve"> </w:t>
      </w:r>
      <w:r>
        <w:t xml:space="preserve">October 26, 2023</w:t>
      </w:r>
      <w:r>
        <w:br/>
      </w:r>
      <w:r>
        <w:rPr>
          <w:bCs/>
          <w:b/>
        </w:rPr>
        <w:t xml:space="preserve">Report Reference:</w:t>
      </w:r>
      <w:r>
        <w:t xml:space="preserve"> </w:t>
      </w:r>
      <w:r>
        <w:t xml:space="preserve">AUD-SR-YGN-2023-Q4</w:t>
      </w:r>
    </w:p>
    <w:bookmarkStart w:id="20" w:name="i.-executive-summary"/>
    <w:p>
      <w:pPr>
        <w:pStyle w:val="Heading2"/>
      </w:pPr>
      <w:r>
        <w:t xml:space="preserve">I. Executive Summary</w:t>
      </w:r>
    </w:p>
    <w:p>
      <w:pPr>
        <w:pStyle w:val="FirstParagraph"/>
      </w:pPr>
      <w:r>
        <w:t xml:space="preserve">This Sales Report presents the findings of an independent Auditor's review of sales operations across all key accounts and distribution channels within Myanmar Yangon for the period Q1–Q3 2023. The primary focus was assessing sales performance against targets, compliance with Myanmar regulatory frameworks (including the Companies Act and Foreign Investment Law), and adherence to internal sales governance protocols. The Auditor’s analysis reveals a resilient yet complex operating environment where strategic adjustments in Yangon have driven a 14.7% year-on-year growth in regional revenue, despite significant macroeconomic headwinds. Critical challenges related to supply chain delays at Thilawa Port and evolving tax compliance requirements were identified as key risk factors requiring immediate attention from sales leadership.</w:t>
      </w:r>
    </w:p>
    <w:bookmarkEnd w:id="20"/>
    <w:bookmarkStart w:id="21" w:name="Xabadfd19a6833abab075a08f94cf9c792e4b071"/>
    <w:p>
      <w:pPr>
        <w:pStyle w:val="Heading2"/>
      </w:pPr>
      <w:r>
        <w:t xml:space="preserve">II. Auditor Methodology: Contextualizing Yangon Operations</w:t>
      </w:r>
    </w:p>
    <w:p>
      <w:pPr>
        <w:pStyle w:val="FirstParagraph"/>
      </w:pPr>
      <w:r>
        <w:t xml:space="preserve">The Auditor deployed a hybrid methodology tailored specifically to the Myanmar Yangon business ecosystem. This included:</w:t>
      </w:r>
    </w:p>
    <w:p>
      <w:pPr>
        <w:numPr>
          <w:ilvl w:val="0"/>
          <w:numId w:val="1001"/>
        </w:numPr>
        <w:pStyle w:val="Compact"/>
      </w:pPr>
      <w:r>
        <w:rPr>
          <w:bCs/>
          <w:b/>
        </w:rPr>
        <w:t xml:space="preserve">On-site Verification:</w:t>
      </w:r>
      <w:r>
        <w:t xml:space="preserve"> </w:t>
      </w:r>
      <w:r>
        <w:t xml:space="preserve">45 field visits across Yangon zones (Sanchaung, Bahan, Hlaing Tharyar) to observe point-of-sale interactions and inventory practices.</w:t>
      </w:r>
    </w:p>
    <w:p>
      <w:pPr>
        <w:numPr>
          <w:ilvl w:val="0"/>
          <w:numId w:val="1001"/>
        </w:numPr>
        <w:pStyle w:val="Compact"/>
      </w:pPr>
      <w:r>
        <w:rPr>
          <w:bCs/>
          <w:b/>
        </w:rPr>
        <w:t xml:space="preserve">Data Harmonization:</w:t>
      </w:r>
      <w:r>
        <w:t xml:space="preserve"> </w:t>
      </w:r>
      <w:r>
        <w:t xml:space="preserve">Cross-referencing ERP sales data with Myanmar Ministry of Industry-issued invoices and tax records (via MyTax platform) to verify compliance.</w:t>
      </w:r>
    </w:p>
    <w:p>
      <w:pPr>
        <w:numPr>
          <w:ilvl w:val="0"/>
          <w:numId w:val="1001"/>
        </w:numPr>
        <w:pStyle w:val="Compact"/>
      </w:pPr>
      <w:r>
        <w:rPr>
          <w:bCs/>
          <w:b/>
        </w:rPr>
        <w:t xml:space="preserve">Stakeholder Interviews:</w:t>
      </w:r>
      <w:r>
        <w:t xml:space="preserve"> </w:t>
      </w:r>
      <w:r>
        <w:t xml:space="preserve">32 sessions with Yangon-based sales managers, distributors, and key clients to assess market sentiment.</w:t>
      </w:r>
    </w:p>
    <w:p>
      <w:pPr>
        <w:numPr>
          <w:ilvl w:val="0"/>
          <w:numId w:val="1001"/>
        </w:numPr>
        <w:pStyle w:val="Compact"/>
      </w:pPr>
      <w:r>
        <w:rPr>
          <w:bCs/>
          <w:b/>
        </w:rPr>
        <w:t xml:space="preserve">Cultural Context Integration:</w:t>
      </w:r>
      <w:r>
        <w:t xml:space="preserve"> </w:t>
      </w:r>
      <w:r>
        <w:t xml:space="preserve">Incorporating Myanmar business etiquette norms (e.g., respect for hierarchical communication) into audit procedures to ensure authentic data collection in Yangon's unique commercial landscape.</w:t>
      </w:r>
    </w:p>
    <w:p>
      <w:pPr>
        <w:pStyle w:val="FirstParagraph"/>
      </w:pPr>
      <w:r>
        <w:t xml:space="preserve">This contextual approach was vital, as the Auditor noted that standard international metrics often fail to reflect Yangon’s dynamic market realities—where informal trade channels remain significant and currency volatility (MMK vs USD) directly impacts pricing strategies.</w:t>
      </w:r>
    </w:p>
    <w:bookmarkEnd w:id="21"/>
    <w:bookmarkStart w:id="22" w:name="X31b26569fce03a7b1b9c64c1e42845568b548e1"/>
    <w:p>
      <w:pPr>
        <w:pStyle w:val="Heading2"/>
      </w:pPr>
      <w:r>
        <w:t xml:space="preserve">III. Key Sales Performance Metrics: Myanmar Yangon Focus</w:t>
      </w:r>
    </w:p>
    <w:p>
      <w:pPr>
        <w:pStyle w:val="FirstParagraph"/>
      </w:pPr>
      <w:r>
        <w:t xml:space="preserve">Results from the Auditor’s analysis highlight both achievements and critical gaps:</w:t>
      </w:r>
    </w:p>
    <w:p>
      <w:pPr>
        <w:pStyle w:val="BodyText"/>
      </w:pPr>
      <w:r>
        <w:t xml:space="preserve">KPI</w:t>
      </w:r>
    </w:p>
    <w:p>
      <w:pPr>
        <w:pStyle w:val="BodyText"/>
      </w:pPr>
      <w:r>
        <w:t xml:space="preserve">Yangon Q3 2023</w:t>
      </w:r>
    </w:p>
    <w:p>
      <w:pPr>
        <w:pStyle w:val="BodyText"/>
      </w:pPr>
      <w:r>
        <w:t xml:space="preserve">Target (Q3)</w:t>
      </w:r>
    </w:p>
    <w:p>
      <w:pPr>
        <w:pStyle w:val="BodyText"/>
      </w:pPr>
      <w:r>
        <w:t xml:space="preserve">Variance</w:t>
      </w:r>
    </w:p>
    <w:p>
      <w:pPr>
        <w:pStyle w:val="BodyText"/>
      </w:pPr>
      <w:r>
        <w:t xml:space="preserve">Total Revenue (USD)</w:t>
      </w:r>
    </w:p>
    <w:p>
      <w:pPr>
        <w:pStyle w:val="BodyText"/>
      </w:pPr>
      <w:r>
        <w:t xml:space="preserve">$1.82M</w:t>
      </w:r>
    </w:p>
    <w:p>
      <w:pPr>
        <w:pStyle w:val="BodyText"/>
      </w:pPr>
      <w:r>
        <w:t xml:space="preserve">$1.75M</w:t>
      </w:r>
    </w:p>
    <w:p>
      <w:pPr>
        <w:pStyle w:val="BodyText"/>
      </w:pPr>
      <w:r>
        <w:t xml:space="preserve">+4.0%</w:t>
      </w:r>
    </w:p>
    <w:p>
      <w:pPr>
        <w:pStyle w:val="BodyText"/>
      </w:pPr>
      <w:r>
        <w:t xml:space="preserve">Market Share (Consumer Goods)</w:t>
      </w:r>
    </w:p>
    <w:p>
      <w:pPr>
        <w:pStyle w:val="BodyText"/>
      </w:pPr>
      <w:r>
        <w:t xml:space="preserve">&lt;</w:t>
      </w:r>
    </w:p>
    <w:p>
      <w:pPr>
        <w:pStyle w:val="BodyText"/>
      </w:pPr>
      <w:r>
        <w:t xml:space="preserve">28.3%</w:t>
      </w:r>
    </w:p>
    <w:p>
      <w:pPr>
        <w:pStyle w:val="BodyText"/>
      </w:pPr>
      <w:r>
        <w:t xml:space="preserve">26.5%</w:t>
      </w:r>
    </w:p>
    <w:p>
      <w:pPr>
        <w:pStyle w:val="BodyText"/>
      </w:pPr>
      <w:r>
        <w:t xml:space="preserve">+1.8% (vs Target)</w:t>
      </w:r>
    </w:p>
    <w:p>
      <w:pPr>
        <w:pStyle w:val="BodyText"/>
      </w:pPr>
      <w:r>
        <w:t xml:space="preserve">Critical Challenges Identified by the Auditor</w:t>
      </w:r>
    </w:p>
    <w:p>
      <w:pPr>
        <w:pStyle w:val="BodyText"/>
      </w:pPr>
      <w:r>
        <w:t xml:space="preserve">Compliance Rate with Myanmar Tax Laws</w:t>
      </w:r>
    </w:p>
    <w:p>
      <w:pPr>
        <w:pStyle w:val="BodyText"/>
      </w:pPr>
      <w:r>
        <w:t xml:space="preserve">82%</w:t>
      </w:r>
    </w:p>
    <w:p>
      <w:pPr>
        <w:pStyle w:val="BodyText"/>
      </w:pPr>
      <w:r>
        <w:t xml:space="preserve">95%</w:t>
      </w:r>
    </w:p>
    <w:p>
      <w:pPr>
        <w:pStyle w:val="BodyText"/>
      </w:pPr>
      <w:r>
        <w:t xml:space="preserve">-13% (Major Gap)</w:t>
      </w:r>
    </w:p>
    <w:p>
      <w:pPr>
        <w:pStyle w:val="BodyText"/>
      </w:pPr>
      <w:r>
        <w:t xml:space="preserve">Average Sales Cycle Time (Yangon)</w:t>
      </w:r>
    </w:p>
    <w:p>
      <w:pPr>
        <w:pStyle w:val="BodyText"/>
      </w:pPr>
      <w:r>
        <w:t xml:space="preserve">27 days</w:t>
      </w:r>
    </w:p>
    <w:p>
      <w:pPr>
        <w:pStyle w:val="BodyText"/>
      </w:pPr>
      <w:r>
        <w:t xml:space="preserve">20 days</w:t>
      </w:r>
    </w:p>
    <w:p>
      <w:pPr>
        <w:pStyle w:val="BodyText"/>
      </w:pPr>
      <w:r>
        <w:t xml:space="preserve">+35%</w:t>
      </w:r>
    </w:p>
    <w:p>
      <w:pPr>
        <w:pStyle w:val="BodyText"/>
      </w:pPr>
      <w:r>
        <w:t xml:space="preserve">The Auditor attributes the tax compliance shortfall to inconsistent application of Myanmar’s new e-invoicing mandate (effective Jan 2023) by local distributors. Furthermore, the extended sales cycle is directly linked to customs bottlenecks at Yangon's Thilawa Port—identified as the single largest operational hurdle for inbound inventory in Myanmar.</w:t>
      </w:r>
    </w:p>
    <w:bookmarkEnd w:id="22"/>
    <w:bookmarkStart w:id="23" w:name="iv.-yangon-specific-market-analysis"/>
    <w:p>
      <w:pPr>
        <w:pStyle w:val="Heading2"/>
      </w:pPr>
      <w:r>
        <w:t xml:space="preserve">IV. Yangon-Specific Market Analysis</w:t>
      </w:r>
    </w:p>
    <w:p>
      <w:pPr>
        <w:pStyle w:val="FirstParagraph"/>
      </w:pPr>
      <w:r>
        <w:t xml:space="preserve">As highlighted by the Auditor, Myanmar Yangon represents a high-potential yet complex market. The report details:</w:t>
      </w:r>
    </w:p>
    <w:p>
      <w:pPr>
        <w:numPr>
          <w:ilvl w:val="0"/>
          <w:numId w:val="1002"/>
        </w:numPr>
        <w:pStyle w:val="Compact"/>
      </w:pPr>
      <w:r>
        <w:rPr>
          <w:bCs/>
          <w:b/>
        </w:rPr>
        <w:t xml:space="preserve">Economic Sensitivity:</w:t>
      </w:r>
      <w:r>
        <w:t xml:space="preserve"> </w:t>
      </w:r>
      <w:r>
        <w:t xml:space="preserve">68% of surveyed Yangon retailers reported reduced purchasing capacity due to MMK devaluation (2023), necessitating flexible pricing strategies.</w:t>
      </w:r>
    </w:p>
    <w:p>
      <w:pPr>
        <w:numPr>
          <w:ilvl w:val="0"/>
          <w:numId w:val="1002"/>
        </w:numPr>
        <w:pStyle w:val="Compact"/>
      </w:pPr>
      <w:r>
        <w:rPr>
          <w:bCs/>
          <w:b/>
        </w:rPr>
        <w:t xml:space="preserve">Distribution Complexity:</w:t>
      </w:r>
      <w:r>
        <w:t xml:space="preserve"> </w:t>
      </w:r>
      <w:r>
        <w:t xml:space="preserve">The Auditor documented that 41% of sales to Yangon’s peri-urban zones (e.g., Mingaladon, Tamwe) rely on third-party logistics providers with inconsistent service levels—impacting delivery reliability and customer satisfaction scores by 22%.</w:t>
      </w:r>
    </w:p>
    <w:p>
      <w:pPr>
        <w:numPr>
          <w:ilvl w:val="0"/>
          <w:numId w:val="1002"/>
        </w:numPr>
        <w:pStyle w:val="Compact"/>
      </w:pPr>
      <w:r>
        <w:rPr>
          <w:bCs/>
          <w:b/>
        </w:rPr>
        <w:t xml:space="preserve">Cultural Nuances:</w:t>
      </w:r>
      <w:r>
        <w:t xml:space="preserve"> </w:t>
      </w:r>
      <w:r>
        <w:t xml:space="preserve">In Yangon, relationship-building (not just transaction speed) drives sales success. The Auditor found teams using culturally appropriate communication styles (e.g., prior greeting rituals) achieved 18% higher deal closure rates in Yangon compared to non-compliant teams.</w:t>
      </w:r>
    </w:p>
    <w:bookmarkEnd w:id="23"/>
    <w:bookmarkStart w:id="24" w:name="Xeea7261ac2332cc46ba39c430a4619d5ef46c92"/>
    <w:p>
      <w:pPr>
        <w:pStyle w:val="Heading2"/>
      </w:pPr>
      <w:r>
        <w:t xml:space="preserve">V. Auditor Recommendations for Myanmar Yangon Operations</w:t>
      </w:r>
    </w:p>
    <w:p>
      <w:pPr>
        <w:pStyle w:val="FirstParagraph"/>
      </w:pPr>
      <w:r>
        <w:t xml:space="preserve">The independent Sales Auditor proposes the following urgent actions, all directly tied to maximizing performance in Yangon:</w:t>
      </w:r>
    </w:p>
    <w:p>
      <w:pPr>
        <w:numPr>
          <w:ilvl w:val="0"/>
          <w:numId w:val="1003"/>
        </w:numPr>
        <w:pStyle w:val="Compact"/>
      </w:pPr>
      <w:r>
        <w:rPr>
          <w:bCs/>
          <w:b/>
        </w:rPr>
        <w:t xml:space="preserve">Integrate MyTax Compliance into Sales Onboarding:</w:t>
      </w:r>
      <w:r>
        <w:t xml:space="preserve"> </w:t>
      </w:r>
      <w:r>
        <w:t xml:space="preserve">Mandatory training on Myanmar tax regulations for all sales staff and distributors within Yangon. The Auditor recommends allocating $25,000 for localized training materials (Burmese/English) to address current compliance gaps.</w:t>
      </w:r>
    </w:p>
    <w:p>
      <w:pPr>
        <w:numPr>
          <w:ilvl w:val="0"/>
          <w:numId w:val="1003"/>
        </w:numPr>
        <w:pStyle w:val="Compact"/>
      </w:pPr>
      <w:r>
        <w:rPr>
          <w:bCs/>
          <w:b/>
        </w:rPr>
        <w:t xml:space="preserve">Optimize Thilawa Port Logistics:</w:t>
      </w:r>
      <w:r>
        <w:t xml:space="preserve"> </w:t>
      </w:r>
      <w:r>
        <w:t xml:space="preserve">Partner with the Yangon Port Authority and a local logistics firm (e.g., T&amp;T Express) to establish a dedicated import lane for sales inventory, targeting 30% faster clearance times. The Auditor estimates this could reduce average cycle time by 7 days.</w:t>
      </w:r>
    </w:p>
    <w:bookmarkEnd w:id="24"/>
    <w:bookmarkStart w:id="25" w:name="Xa7378089fcf15565078ec2a77a0e75f17908ce7"/>
    <w:p>
      <w:pPr>
        <w:pStyle w:val="Heading2"/>
      </w:pPr>
      <w:r>
        <w:t xml:space="preserve">VI. Conclusion: Strategic Imperatives for Sales Success in Myanmar Yangon</w:t>
      </w:r>
    </w:p>
    <w:p>
      <w:pPr>
        <w:pStyle w:val="FirstParagraph"/>
      </w:pPr>
      <w:r>
        <w:t xml:space="preserve">The Sales Report underscores that sustainable growth in Myanmar Yangon is intrinsically linked to operational compliance, cultural agility, and logistics resilience. The Auditor’s analysis confirms that while sales performance has exceeded targets (14.7% YoY revenue growth), the current model is vulnerable to regulatory and supply chain disruptions without structural changes.</w:t>
      </w:r>
    </w:p>
    <w:p>
      <w:pPr>
        <w:pStyle w:val="BodyText"/>
      </w:pPr>
      <w:r>
        <w:t xml:space="preserve">Most critically, the Auditor emphasizes that "Myanmar Yangon is not merely a geographic market—it is a cultural and regulatory ecosystem requiring specialized audit frameworks." Ignoring these nuances risks revenue leakage, reputational damage with Myanmar authorities (e.g., Ministry of Commerce), and loss of competitive edge against local players like Owaya Group, who better navigate Yangon’s unique business landscape.</w:t>
      </w:r>
    </w:p>
    <w:p>
      <w:pPr>
        <w:pStyle w:val="BodyText"/>
      </w:pPr>
      <w:r>
        <w:t xml:space="preserve">In conclusion, this Sales Report serves as both a performance snapshot and an action blueprint. By implementing the Auditor’s recommendations—particularly those addressing Myanmar’s tax compliance needs and Yangon-specific cultural dynamics—the company can transform operational vulnerabilities into strategic advantages in one of Southeast Asia's most promising emerging markets.</w:t>
      </w:r>
    </w:p>
    <w:bookmarkEnd w:id="25"/>
    <w:bookmarkStart w:id="26" w:name="vii.-appendices"/>
    <w:p>
      <w:pPr>
        <w:pStyle w:val="Heading2"/>
      </w:pPr>
      <w:r>
        <w:t xml:space="preserve">VII. Appendices</w:t>
      </w:r>
    </w:p>
    <w:p>
      <w:pPr>
        <w:numPr>
          <w:ilvl w:val="0"/>
          <w:numId w:val="1004"/>
        </w:numPr>
        <w:pStyle w:val="Compact"/>
      </w:pPr>
      <w:r>
        <w:t xml:space="preserve">Appendix A: Full Compliance Audit Checklist (Myanmar Regulatory Frameworks)</w:t>
      </w:r>
    </w:p>
    <w:p>
      <w:pPr>
        <w:numPr>
          <w:ilvl w:val="0"/>
          <w:numId w:val="1004"/>
        </w:numPr>
        <w:pStyle w:val="Compact"/>
      </w:pPr>
      <w:r>
        <w:t xml:space="preserve">Appendix B: Yangon Zone Sales Performance Heatmap (Q1–Q3 2023)</w:t>
      </w:r>
    </w:p>
    <w:p>
      <w:pPr>
        <w:numPr>
          <w:ilvl w:val="0"/>
          <w:numId w:val="1004"/>
        </w:numPr>
        <w:pStyle w:val="Compact"/>
      </w:pPr>
      <w:r>
        <w:t xml:space="preserve">Appendix C: Cultural Sensitivity Guidelines for Yangon Client Engagement</w:t>
      </w:r>
    </w:p>
    <w:p>
      <w:pPr>
        <w:pStyle w:val="FirstParagraph"/>
      </w:pPr>
      <w:r>
        <w:rPr>
          <w:iCs/>
          <w:i/>
        </w:rPr>
        <w:t xml:space="preserve">This Sales Report is an official document of the Independent Auditor, specifically scoped for Myanmar Yangon operations. All data and recommendations are based on verified field evidence collected within Myanmar’s legal and commercial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Myanmar Yangon</dc:title>
  <dc:creator/>
  <dc:language>en</dc:language>
  <cp:keywords/>
  <dcterms:created xsi:type="dcterms:W3CDTF">2026-07-19T16:05:29Z</dcterms:created>
  <dcterms:modified xsi:type="dcterms:W3CDTF">2026-07-19T16:05:29Z</dcterms:modified>
</cp:coreProperties>
</file>

<file path=docProps/custom.xml><?xml version="1.0" encoding="utf-8"?>
<Properties xmlns="http://schemas.openxmlformats.org/officeDocument/2006/custom-properties" xmlns:vt="http://schemas.openxmlformats.org/officeDocument/2006/docPropsVTypes"/>
</file>