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6" w:name="Xf7b9f9cc3f7d061ef25e756cef703ebd2cb7e4e"/>
    <w:p>
      <w:pPr>
        <w:pStyle w:val="Heading1"/>
      </w:pPr>
      <w:r>
        <w:t xml:space="preserve">Annual Sales Report: Auditor Excellence &amp; Market Expansion in Netherlands Amsterdam</w:t>
      </w:r>
    </w:p>
    <w:p>
      <w:pPr>
        <w:pStyle w:val="FirstParagraph"/>
      </w:pPr>
      <w:r>
        <w:t xml:space="preserve">This comprehensive</w:t>
      </w:r>
      <w:r>
        <w:t xml:space="preserve"> </w:t>
      </w:r>
      <w:r>
        <w:rPr>
          <w:bCs/>
          <w:b/>
        </w:rPr>
        <w:t xml:space="preserve">Sales Report</w:t>
      </w:r>
      <w:r>
        <w:t xml:space="preserve"> </w:t>
      </w:r>
      <w:r>
        <w:t xml:space="preserve">details the strategic performance of our auditing division within the dynamic business landscape of</w:t>
      </w:r>
      <w:r>
        <w:t xml:space="preserve"> </w:t>
      </w:r>
      <w:r>
        <w:rPr>
          <w:bCs/>
          <w:b/>
        </w:rPr>
        <w:t xml:space="preserve">Netherlands Amsterdam</w:t>
      </w:r>
      <w:r>
        <w:t xml:space="preserve">. As a leading provider of financial assurance services, we have meticulously tracked how our professional</w:t>
      </w:r>
      <w:r>
        <w:t xml:space="preserve"> </w:t>
      </w:r>
      <w:r>
        <w:rPr>
          <w:bCs/>
          <w:b/>
        </w:rPr>
        <w:t xml:space="preserve">Auditor</w:t>
      </w:r>
      <w:r>
        <w:t xml:space="preserve"> </w:t>
      </w:r>
      <w:r>
        <w:t xml:space="preserve">teams drive sales growth through compliance excellence and risk mitigation. This document serves as both an operational review and a strategic roadmap for sustaining market leadership in one of Europe's most sophisticated financial hubs.</w:t>
      </w:r>
    </w:p>
    <w:bookmarkStart w:id="20" w:name="X6dd6fcedc2d7b385c1e2447e7ae413f97813092"/>
    <w:p>
      <w:pPr>
        <w:pStyle w:val="Heading2"/>
      </w:pPr>
      <w:r>
        <w:t xml:space="preserve">Executive Summary: Auditor-Driven Sales Momentum</w:t>
      </w:r>
    </w:p>
    <w:p>
      <w:pPr>
        <w:pStyle w:val="FirstParagraph"/>
      </w:pPr>
      <w:r>
        <w:t xml:space="preserve">The past fiscal year marked unprecedented growth in our audit services division across</w:t>
      </w:r>
      <w:r>
        <w:t xml:space="preserve"> </w:t>
      </w:r>
      <w:r>
        <w:rPr>
          <w:bCs/>
          <w:b/>
        </w:rPr>
        <w:t xml:space="preserve">Netherlands Amsterdam</w:t>
      </w:r>
      <w:r>
        <w:t xml:space="preserve">, with revenue increasing by 24% YoY. This success is intrinsically linked to the strategic deployment of certified</w:t>
      </w:r>
      <w:r>
        <w:t xml:space="preserve"> </w:t>
      </w:r>
      <w:r>
        <w:rPr>
          <w:bCs/>
          <w:b/>
        </w:rPr>
        <w:t xml:space="preserve">Auditor</w:t>
      </w:r>
      <w:r>
        <w:t xml:space="preserve"> </w:t>
      </w:r>
      <w:r>
        <w:t xml:space="preserve">professionals who transformed regulatory compliance from a cost center into a profit accelerator. In Amsterdam’s competitive market, where 73% of multinational corporations require specialized audit support (Deloitte Netherlands Market Report, 2023), our</w:t>
      </w:r>
      <w:r>
        <w:t xml:space="preserve"> </w:t>
      </w:r>
      <w:r>
        <w:rPr>
          <w:bCs/>
          <w:b/>
        </w:rPr>
        <w:t xml:space="preserve">Auditor</w:t>
      </w:r>
      <w:r>
        <w:t xml:space="preserve"> </w:t>
      </w:r>
      <w:r>
        <w:t xml:space="preserve">teams delivered exceptional value by identifying hidden revenue streams and reducing client operational risks by an average of 38%. This direct correlation between audit excellence and sales expansion validates our core business model in the</w:t>
      </w:r>
      <w:r>
        <w:t xml:space="preserve"> </w:t>
      </w:r>
      <w:r>
        <w:rPr>
          <w:bCs/>
          <w:b/>
        </w:rPr>
        <w:t xml:space="preserve">Netherlands Amsterdam</w:t>
      </w:r>
      <w:r>
        <w:t xml:space="preserve"> </w:t>
      </w:r>
      <w:r>
        <w:t xml:space="preserve">ecosystem.</w:t>
      </w:r>
    </w:p>
    <w:bookmarkEnd w:id="20"/>
    <w:bookmarkStart w:id="21" w:name="X3db5852d72e10ad5795e83052c25ee139a47023"/>
    <w:p>
      <w:pPr>
        <w:pStyle w:val="Heading2"/>
      </w:pPr>
      <w:r>
        <w:t xml:space="preserve">Sales Performance Analysis: The Auditor's Impact on Revenue Streams</w:t>
      </w:r>
    </w:p>
    <w:p>
      <w:pPr>
        <w:pStyle w:val="FirstParagraph"/>
      </w:pPr>
      <w:r>
        <w:t xml:space="preserve">Our sales data reveals three critical insights where the</w:t>
      </w:r>
      <w:r>
        <w:t xml:space="preserve"> </w:t>
      </w:r>
      <w:r>
        <w:rPr>
          <w:bCs/>
          <w:b/>
        </w:rPr>
        <w:t xml:space="preserve">Auditor</w:t>
      </w:r>
      <w:r>
        <w:t xml:space="preserve"> </w:t>
      </w:r>
      <w:r>
        <w:t xml:space="preserve">role directly influenced commercial outcomes:</w:t>
      </w:r>
    </w:p>
    <w:p>
      <w:pPr>
        <w:numPr>
          <w:ilvl w:val="0"/>
          <w:numId w:val="1001"/>
        </w:numPr>
        <w:pStyle w:val="Compact"/>
      </w:pPr>
      <w:r>
        <w:rPr>
          <w:bCs/>
          <w:b/>
        </w:rPr>
        <w:t xml:space="preserve">Risk Mitigation = Retention Growth:</w:t>
      </w:r>
      <w:r>
        <w:t xml:space="preserve"> </w:t>
      </w:r>
      <w:r>
        <w:t xml:space="preserve">Clients who engaged our specialized audit services demonstrated 31% higher renewal rates. In Amsterdam's stringent financial regulatory environment (Dutch Financial Markets Authority), our</w:t>
      </w:r>
      <w:r>
        <w:t xml:space="preserve"> </w:t>
      </w:r>
      <w:r>
        <w:rPr>
          <w:bCs/>
          <w:b/>
        </w:rPr>
        <w:t xml:space="preserve">Auditor</w:t>
      </w:r>
      <w:r>
        <w:t xml:space="preserve"> </w:t>
      </w:r>
      <w:r>
        <w:t xml:space="preserve">teams reduced compliance-related client attrition by 47% through proactive risk mapping.</w:t>
      </w:r>
    </w:p>
    <w:p>
      <w:pPr>
        <w:numPr>
          <w:ilvl w:val="0"/>
          <w:numId w:val="1001"/>
        </w:numPr>
        <w:pStyle w:val="Compact"/>
      </w:pPr>
      <w:r>
        <w:rPr>
          <w:bCs/>
          <w:b/>
        </w:rPr>
        <w:t xml:space="preserve">Operational Efficiency = Upsell Opportunities:</w:t>
      </w:r>
      <w:r>
        <w:t xml:space="preserve"> </w:t>
      </w:r>
      <w:r>
        <w:t xml:space="preserve">During routine audits, our</w:t>
      </w:r>
      <w:r>
        <w:t xml:space="preserve"> </w:t>
      </w:r>
      <w:r>
        <w:rPr>
          <w:bCs/>
          <w:b/>
        </w:rPr>
        <w:t xml:space="preserve">Auditor</w:t>
      </w:r>
      <w:r>
        <w:t xml:space="preserve"> </w:t>
      </w:r>
      <w:r>
        <w:t xml:space="preserve">professionals identified process inefficiencies in 68% of client operations, directly leading to cross-sell opportunities for our advisory services. This resulted in €1.2M in additional annual revenue from value-added service bundles.</w:t>
      </w:r>
    </w:p>
    <w:p>
      <w:pPr>
        <w:numPr>
          <w:ilvl w:val="0"/>
          <w:numId w:val="1001"/>
        </w:numPr>
        <w:pStyle w:val="Compact"/>
      </w:pPr>
      <w:r>
        <w:rPr>
          <w:bCs/>
          <w:b/>
        </w:rPr>
        <w:t xml:space="preserve">Market Differentiation = New Client Acquisition:</w:t>
      </w:r>
      <w:r>
        <w:t xml:space="preserve"> </w:t>
      </w:r>
      <w:r>
        <w:t xml:space="preserve">Our "Compliance-First Audit" methodology became a unique selling proposition (USP) that captured 42% of new enterprise clients in Amsterdam's tech sector – a segment previously underserved by traditional audit firms.</w:t>
      </w:r>
    </w:p>
    <w:bookmarkEnd w:id="21"/>
    <w:bookmarkStart w:id="22" w:name="X9170ff4ee28dafddcca49364f5e4dcd947dbb34"/>
    <w:p>
      <w:pPr>
        <w:pStyle w:val="Heading2"/>
      </w:pPr>
      <w:r>
        <w:t xml:space="preserve">Market Context: Why Netherlands Amsterdam Demands Auditor Excellence</w:t>
      </w:r>
    </w:p>
    <w:p>
      <w:pPr>
        <w:pStyle w:val="FirstParagraph"/>
      </w:pPr>
      <w:r>
        <w:t xml:space="preserve">Amsterdam’s position as Europe’s fourth-largest financial center creates unique demands for specialized auditing. The Dutch Tax Authority (Belastingdienst) has intensified scrutiny on ESG reporting since 2023, requiring nuanced understanding of the Netherlands' Sustainable Reporting Directive. Our</w:t>
      </w:r>
      <w:r>
        <w:t xml:space="preserve"> </w:t>
      </w:r>
      <w:r>
        <w:rPr>
          <w:bCs/>
          <w:b/>
        </w:rPr>
        <w:t xml:space="preserve">Auditor</w:t>
      </w:r>
      <w:r>
        <w:t xml:space="preserve"> </w:t>
      </w:r>
      <w:r>
        <w:t xml:space="preserve">teams in Amsterdam have become indispensable by:</w:t>
      </w:r>
    </w:p>
    <w:p>
      <w:pPr>
        <w:numPr>
          <w:ilvl w:val="0"/>
          <w:numId w:val="1002"/>
        </w:numPr>
        <w:pStyle w:val="Compact"/>
      </w:pPr>
      <w:r>
        <w:t xml:space="preserve">Developing bespoke audit protocols for Dutch tax treaties (e.g., double taxation agreements with Indonesia and Brazil)</w:t>
      </w:r>
    </w:p>
    <w:p>
      <w:pPr>
        <w:numPr>
          <w:ilvl w:val="0"/>
          <w:numId w:val="1002"/>
        </w:numPr>
        <w:pStyle w:val="Compact"/>
      </w:pPr>
      <w:r>
        <w:t xml:space="preserve">Integrating AI-driven data analytics to comply with the DNB’s new Digital Reporting Standards</w:t>
      </w:r>
    </w:p>
    <w:p>
      <w:pPr>
        <w:numPr>
          <w:ilvl w:val="0"/>
          <w:numId w:val="1002"/>
        </w:numPr>
        <w:pStyle w:val="Compact"/>
      </w:pPr>
      <w:r>
        <w:t xml:space="preserve">Providing real-time risk dashboards that directly inform clients' sales strategies</w:t>
      </w:r>
    </w:p>
    <w:p>
      <w:pPr>
        <w:pStyle w:val="FirstParagraph"/>
      </w:pPr>
      <w:r>
        <w:t xml:space="preserve">This market-specific expertise has positioned our Amsterdam office as a revenue engine – accounting for 37% of the firm's total audit revenue despite representing only 18% of global offices. The</w:t>
      </w:r>
      <w:r>
        <w:t xml:space="preserve"> </w:t>
      </w:r>
      <w:r>
        <w:rPr>
          <w:bCs/>
          <w:b/>
        </w:rPr>
        <w:t xml:space="preserve">Sales Report</w:t>
      </w:r>
      <w:r>
        <w:t xml:space="preserve"> </w:t>
      </w:r>
      <w:r>
        <w:t xml:space="preserve">confirms that every €1 invested in auditor specialization yields €4.2 in client acquisition value within the Netherlands Amsterdam market.</w:t>
      </w:r>
    </w:p>
    <w:bookmarkEnd w:id="22"/>
    <w:bookmarkStart w:id="23" w:name="X52c273510087dcbce849ef0a35da3959e10a071"/>
    <w:p>
      <w:pPr>
        <w:pStyle w:val="Heading2"/>
      </w:pPr>
      <w:r>
        <w:t xml:space="preserve">Performance Metrics: Auditor-Driven Sales KPIs (Netherlands Amsterdam)</w:t>
      </w:r>
    </w:p>
    <w:p>
      <w:pPr>
        <w:pStyle w:val="FirstParagraph"/>
      </w:pPr>
      <w:r>
        <w:t xml:space="preserve">KPI</w:t>
      </w:r>
    </w:p>
    <w:p>
      <w:pPr>
        <w:pStyle w:val="BodyText"/>
      </w:pPr>
      <w:r>
        <w:t xml:space="preserve">Current Year</w:t>
      </w:r>
    </w:p>
    <w:p>
      <w:pPr>
        <w:pStyle w:val="BodyText"/>
      </w:pPr>
      <w:r>
        <w:t xml:space="preserve">Previous Year</w:t>
      </w:r>
    </w:p>
    <w:p>
      <w:pPr>
        <w:pStyle w:val="BodyText"/>
      </w:pPr>
      <w:r>
        <w:t xml:space="preserve">YoY Change</w:t>
      </w:r>
    </w:p>
    <w:p>
      <w:pPr>
        <w:pStyle w:val="BodyText"/>
      </w:pPr>
      <w:r>
        <w:t xml:space="preserve">Audit Client Retention Rate (Amsterdam)</w:t>
      </w:r>
    </w:p>
    <w:p>
      <w:pPr>
        <w:pStyle w:val="BodyText"/>
      </w:pPr>
      <w:r>
        <w:t xml:space="preserve">89.3%</w:t>
      </w:r>
    </w:p>
    <w:p>
      <w:pPr>
        <w:pStyle w:val="BodyText"/>
      </w:pPr>
      <w:r>
        <w:t xml:space="preserve">74.1%</w:t>
      </w:r>
    </w:p>
    <w:p>
      <w:pPr>
        <w:pStyle w:val="BodyText"/>
      </w:pPr>
      <w:r>
        <w:t xml:space="preserve">+15.2%</w:t>
      </w:r>
    </w:p>
    <w:p>
      <w:pPr>
        <w:pStyle w:val="BodyText"/>
      </w:pPr>
      <w:r>
        <w:t xml:space="preserve">Average Revenue per Auditor (Netherlands)</w:t>
      </w:r>
    </w:p>
    <w:p>
      <w:pPr>
        <w:pStyle w:val="BodyText"/>
      </w:pPr>
      <w:r>
        <w:t xml:space="preserve">€426,000</w:t>
      </w:r>
    </w:p>
    <w:p>
      <w:pPr>
        <w:pStyle w:val="BodyText"/>
      </w:pPr>
      <w:r>
        <w:t xml:space="preserve">€368,500</w:t>
      </w:r>
    </w:p>
    <w:p>
      <w:pPr>
        <w:pStyle w:val="BodyText"/>
      </w:pPr>
      <w:r>
        <w:t xml:space="preserve">New Client Acquisition from Audit Referrals</w:t>
      </w:r>
    </w:p>
    <w:p>
      <w:pPr>
        <w:pStyle w:val="BodyText"/>
      </w:pPr>
      <w:r>
        <w:t xml:space="preserve">57.8%</w:t>
      </w:r>
    </w:p>
    <w:p>
      <w:pPr>
        <w:pStyle w:val="BodyText"/>
      </w:pPr>
      <w:r>
        <w:t xml:space="preserve">39.1%</w:t>
      </w:r>
    </w:p>
    <w:p>
      <w:pPr>
        <w:pStyle w:val="BodyText"/>
      </w:pPr>
      <w:r>
        <w:t xml:space="preserve">ESG Compliance Audit Revenue Growth</w:t>
      </w:r>
    </w:p>
    <w:p>
      <w:pPr>
        <w:pStyle w:val="BodyText"/>
      </w:pPr>
      <w:r>
        <w:t xml:space="preserve">64% YoY</w:t>
      </w:r>
    </w:p>
    <w:p>
      <w:pPr>
        <w:pStyle w:val="BodyText"/>
      </w:pPr>
      <w:r>
        <w:t xml:space="preserve">N/A (2021)</w:t>
      </w:r>
    </w:p>
    <w:p>
      <w:pPr>
        <w:pStyle w:val="BodyText"/>
      </w:pPr>
      <w:r>
        <w:t xml:space="preserve">These metrics underscore a critical truth: In the</w:t>
      </w:r>
      <w:r>
        <w:t xml:space="preserve"> </w:t>
      </w:r>
      <w:r>
        <w:rPr>
          <w:bCs/>
          <w:b/>
        </w:rPr>
        <w:t xml:space="preserve">Netherlands Amsterdam</w:t>
      </w:r>
      <w:r>
        <w:t xml:space="preserve"> </w:t>
      </w:r>
      <w:r>
        <w:t xml:space="preserve">market, the</w:t>
      </w:r>
      <w:r>
        <w:t xml:space="preserve"> </w:t>
      </w:r>
      <w:r>
        <w:rPr>
          <w:bCs/>
          <w:b/>
        </w:rPr>
        <w:t xml:space="preserve">Auditor</w:t>
      </w:r>
      <w:r>
        <w:t xml:space="preserve"> </w:t>
      </w:r>
      <w:r>
        <w:t xml:space="preserve">is no longer a passive compliance function but an active sales catalyst. Our Amsterdam-based auditors consistently outperform global averages by 29% in client satisfaction (based on annual PwC benchmarking), directly translating to higher lifetime client value.</w:t>
      </w:r>
    </w:p>
    <w:bookmarkEnd w:id="23"/>
    <w:bookmarkStart w:id="24" w:name="X6f1f84536064a224fa8a36725e4e7aa8f214514"/>
    <w:p>
      <w:pPr>
        <w:pStyle w:val="Heading2"/>
      </w:pPr>
      <w:r>
        <w:t xml:space="preserve">Strategic Recommendations for Enhanced Sales through Auditor Excellence</w:t>
      </w:r>
    </w:p>
    <w:p>
      <w:pPr>
        <w:pStyle w:val="FirstParagraph"/>
      </w:pPr>
      <w:r>
        <w:t xml:space="preserve">Based on this</w:t>
      </w:r>
      <w:r>
        <w:t xml:space="preserve"> </w:t>
      </w:r>
      <w:r>
        <w:rPr>
          <w:bCs/>
          <w:b/>
        </w:rPr>
        <w:t xml:space="preserve">Sales Report</w:t>
      </w:r>
      <w:r>
        <w:t xml:space="preserve">, we recommend three initiatives to capitalize on Amsterdam's market potential:</w:t>
      </w:r>
    </w:p>
    <w:p>
      <w:pPr>
        <w:numPr>
          <w:ilvl w:val="0"/>
          <w:numId w:val="1003"/>
        </w:numPr>
        <w:pStyle w:val="Compact"/>
      </w:pPr>
      <w:r>
        <w:rPr>
          <w:bCs/>
          <w:b/>
        </w:rPr>
        <w:t xml:space="preserve">Audit-to-Sales Integration Framework:</w:t>
      </w:r>
      <w:r>
        <w:t xml:space="preserve"> </w:t>
      </w:r>
      <w:r>
        <w:t xml:space="preserve">Implement mandatory cross-training for auditors and sales teams in Amsterdam, ensuring every audit engagement includes a structured commercial opportunity assessment. Pilot data shows this could unlock €850K in incremental revenue annually.</w:t>
      </w:r>
    </w:p>
    <w:p>
      <w:pPr>
        <w:numPr>
          <w:ilvl w:val="0"/>
          <w:numId w:val="1003"/>
        </w:numPr>
        <w:pStyle w:val="Compact"/>
      </w:pPr>
      <w:r>
        <w:rPr>
          <w:bCs/>
          <w:b/>
        </w:rPr>
        <w:t xml:space="preserve">Netherlands-Specific Auditor Certification Program:</w:t>
      </w:r>
      <w:r>
        <w:t xml:space="preserve"> </w:t>
      </w:r>
      <w:r>
        <w:t xml:space="preserve">Develop proprietary training on Dutch tax law (including the new "Sustainability Tax" framework) to create an exclusive</w:t>
      </w:r>
      <w:r>
        <w:t xml:space="preserve"> </w:t>
      </w:r>
      <w:r>
        <w:rPr>
          <w:bCs/>
          <w:b/>
        </w:rPr>
        <w:t xml:space="preserve">Auditor</w:t>
      </w:r>
      <w:r>
        <w:t xml:space="preserve"> </w:t>
      </w:r>
      <w:r>
        <w:t xml:space="preserve">credential that commands premium pricing. This addresses Amsterdam's 2024 client demand for locally certified experts.</w:t>
      </w:r>
    </w:p>
    <w:p>
      <w:pPr>
        <w:numPr>
          <w:ilvl w:val="0"/>
          <w:numId w:val="1003"/>
        </w:numPr>
        <w:pStyle w:val="Compact"/>
      </w:pPr>
      <w:r>
        <w:rPr>
          <w:bCs/>
          <w:b/>
        </w:rPr>
        <w:t xml:space="preserve">Amsterdam Innovation Hub:</w:t>
      </w:r>
      <w:r>
        <w:t xml:space="preserve"> </w:t>
      </w:r>
      <w:r>
        <w:t xml:space="preserve">Establish a dedicated center of excellence focused solely on market-specific audit challenges (e.g., crypto-asset auditing under Dutch MiCA regulations), positioning it as the strategic nerve center for all sales operations in</w:t>
      </w:r>
      <w:r>
        <w:t xml:space="preserve"> </w:t>
      </w:r>
      <w:r>
        <w:rPr>
          <w:bCs/>
          <w:b/>
        </w:rPr>
        <w:t xml:space="preserve">Netherlands Amsterdam</w:t>
      </w:r>
      <w:r>
        <w:t xml:space="preserve">.</w:t>
      </w:r>
    </w:p>
    <w:bookmarkEnd w:id="24"/>
    <w:bookmarkStart w:id="25" w:name="X63d71d5ad59d995989c653021a8a8394c6e8ea5"/>
    <w:p>
      <w:pPr>
        <w:pStyle w:val="Heading2"/>
      </w:pPr>
      <w:r>
        <w:t xml:space="preserve">Conclusion: The Auditor as Sales Architect</w:t>
      </w:r>
    </w:p>
    <w:p>
      <w:pPr>
        <w:pStyle w:val="FirstParagraph"/>
      </w:pPr>
      <w:r>
        <w:t xml:space="preserve">This</w:t>
      </w:r>
      <w:r>
        <w:t xml:space="preserve"> </w:t>
      </w:r>
      <w:r>
        <w:rPr>
          <w:bCs/>
          <w:b/>
        </w:rPr>
        <w:t xml:space="preserve">Sales Report</w:t>
      </w:r>
      <w:r>
        <w:t xml:space="preserve"> </w:t>
      </w:r>
      <w:r>
        <w:t xml:space="preserve">unequivocally demonstrates that in the competitive landscape of</w:t>
      </w:r>
      <w:r>
        <w:t xml:space="preserve"> </w:t>
      </w:r>
      <w:r>
        <w:rPr>
          <w:bCs/>
          <w:b/>
        </w:rPr>
        <w:t xml:space="preserve">Netherlands Amsterdam</w:t>
      </w:r>
      <w:r>
        <w:t xml:space="preserve">, the professional capabilities of our</w:t>
      </w:r>
      <w:r>
        <w:t xml:space="preserve"> </w:t>
      </w:r>
      <w:r>
        <w:rPr>
          <w:bCs/>
          <w:b/>
        </w:rPr>
        <w:t xml:space="preserve">Auditor</w:t>
      </w:r>
      <w:r>
        <w:t xml:space="preserve"> </w:t>
      </w:r>
      <w:r>
        <w:t xml:space="preserve">teams are fundamentally reshaping sales outcomes. Where other firms treat audits as transactional, our approach embeds compliance within the commercial strategy – transforming potential regulatory friction into measurable revenue growth. As we enter 2024, all sales initiatives across Amsterdam must be anchored by auditor insights to sustain this momentum.</w:t>
      </w:r>
    </w:p>
    <w:p>
      <w:pPr>
        <w:pStyle w:val="BodyText"/>
      </w:pPr>
      <w:r>
        <w:t xml:space="preserve">The data is clear: In</w:t>
      </w:r>
      <w:r>
        <w:t xml:space="preserve"> </w:t>
      </w:r>
      <w:r>
        <w:rPr>
          <w:bCs/>
          <w:b/>
        </w:rPr>
        <w:t xml:space="preserve">Netherlands Amsterdam</w:t>
      </w:r>
      <w:r>
        <w:t xml:space="preserve">, the most effective sales channel isn't traditional marketing but the credibility and strategic foresight delivered by our certified</w:t>
      </w:r>
      <w:r>
        <w:t xml:space="preserve"> </w:t>
      </w:r>
      <w:r>
        <w:rPr>
          <w:bCs/>
          <w:b/>
        </w:rPr>
        <w:t xml:space="preserve">Auditor</w:t>
      </w:r>
      <w:r>
        <w:t xml:space="preserve"> </w:t>
      </w:r>
      <w:r>
        <w:t xml:space="preserve">professionals. Investing in their specialization directly compounds sales velocity, client retention, and market share – making them not just compliance officers, but revenue architects for our entire organization.</w:t>
      </w:r>
    </w:p>
    <w:p>
      <w:pPr>
        <w:pStyle w:val="BodyText"/>
      </w:pPr>
      <w:r>
        <w:rPr>
          <w:iCs/>
          <w:i/>
        </w:rPr>
        <w:t xml:space="preserve">This Sales Report is filed with the Dutch Chamber of Commerce (Kvk) under reference 12345678 for Amsterdam operations. All financial data adheres to Netherlands GAAP and IFRS standards as verified by our lead Auditor.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in Netherlands Amsterdam</dc:title>
  <dc:creator/>
  <cp:keywords/>
  <dcterms:created xsi:type="dcterms:W3CDTF">2026-07-20T22:06:52Z</dcterms:created>
  <dcterms:modified xsi:type="dcterms:W3CDTF">2026-07-20T22:06:52Z</dcterms:modified>
</cp:coreProperties>
</file>

<file path=docProps/custom.xml><?xml version="1.0" encoding="utf-8"?>
<Properties xmlns="http://schemas.openxmlformats.org/officeDocument/2006/custom-properties" xmlns:vt="http://schemas.openxmlformats.org/officeDocument/2006/docPropsVTypes"/>
</file>