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w:t>
      </w:r>
      <w:r>
        <w:t xml:space="preserve"> </w:t>
      </w:r>
      <w:r>
        <w:t xml:space="preserve">Auckland,</w:t>
      </w:r>
      <w:r>
        <w:t xml:space="preserve"> </w:t>
      </w:r>
      <w:r>
        <w:t xml:space="preserve">New</w:t>
      </w:r>
      <w:r>
        <w:t xml:space="preserve"> </w:t>
      </w:r>
      <w:r>
        <w:t xml:space="preserve">Zealand</w:t>
      </w:r>
    </w:p>
    <w:bookmarkStart w:id="26" w:name="Xba0e82d7fe6a056479657ceb38b063416e1e149"/>
    <w:p>
      <w:pPr>
        <w:pStyle w:val="Heading1"/>
      </w:pPr>
      <w:r>
        <w:t xml:space="preserve">Quarterly Sales Report: Auditor Services Performance - Auckland, New Zealand</w:t>
      </w:r>
    </w:p>
    <w:p>
      <w:pPr>
        <w:pStyle w:val="FirstParagraph"/>
      </w:pPr>
      <w:r>
        <w:rPr>
          <w:bCs/>
          <w:b/>
        </w:rPr>
        <w:t xml:space="preserve">Prepared For:</w:t>
      </w:r>
      <w:r>
        <w:t xml:space="preserve"> </w:t>
      </w:r>
      <w:r>
        <w:t xml:space="preserve">Executive Leadership Team, New Zealand Operations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Purpose:</w:t>
      </w:r>
      <w:r>
        <w:t xml:space="preserve"> </w:t>
      </w:r>
      <w:r>
        <w:t xml:space="preserve">To detail sales performance of Auditor Services within the Auckland market, benchmark against regional targets and identify strategic opportunities for growth in New Zealand's commercial hub.</w:t>
      </w:r>
    </w:p>
    <w:bookmarkStart w:id="20" w:name="executive-summary"/>
    <w:p>
      <w:pPr>
        <w:pStyle w:val="Heading2"/>
      </w:pPr>
      <w:r>
        <w:t xml:space="preserve">Executive Summary</w:t>
      </w:r>
    </w:p>
    <w:p>
      <w:pPr>
        <w:pStyle w:val="FirstParagraph"/>
      </w:pPr>
      <w:r>
        <w:t xml:space="preserve">This Quarterly Sales Report details the performance of our Auditor Services division across New Zealand's largest urban centre, Auckland. Following strong Q2 momentum, Q3 saw a 14.7% year-over-year increase in revenue generated from auditor-led financial and compliance services, significantly outperforming the national average of 6.2%. This growth is attributed to strategic market penetration in Auckland's expanding SME sector (particularly hospitality and logistics), heightened regulatory awareness post-FRS 102 reforms, and our newly launched digital audit platform tailored for New Zealand entities. The Auckland office delivered NZ$1.87M in sales revenue during Q3, representing 42% of total New Zealand auditor service sales – underscoring its critical role as the nation's commercial engine.</w:t>
      </w:r>
    </w:p>
    <w:bookmarkEnd w:id="20"/>
    <w:bookmarkStart w:id="22" w:name="X6e6ad87fbd3e2e30921292ef3c6e5a62171cb52"/>
    <w:p>
      <w:pPr>
        <w:pStyle w:val="Heading2"/>
      </w:pPr>
      <w:r>
        <w:t xml:space="preserve">Q3 Sales Performance Overview: Auckland Market Focus</w:t>
      </w:r>
    </w:p>
    <w:p>
      <w:pPr>
        <w:pStyle w:val="FirstParagraph"/>
      </w:pPr>
      <w:r>
        <w:t xml:space="preserve">Auckland, home to over 1.5 million residents and hosting approximately 68% of New Zealand's top 500 companies, remains our most significant revenue contributor. The Q3 sales performance demonstrates robust demand for high-quality auditor services within the local business ecosystem.</w:t>
      </w:r>
    </w:p>
    <w:p>
      <w:pPr>
        <w:pStyle w:val="BodyText"/>
      </w:pPr>
      <w:r>
        <w:t xml:space="preserve">Service Line</w:t>
      </w:r>
    </w:p>
    <w:p>
      <w:pPr>
        <w:pStyle w:val="BodyText"/>
      </w:pPr>
      <w:r>
        <w:t xml:space="preserve">Q3 Revenue (NZ$)</w:t>
      </w:r>
    </w:p>
    <w:p>
      <w:pPr>
        <w:pStyle w:val="BodyText"/>
      </w:pPr>
      <w:r>
        <w:t xml:space="preserve">% of Total Auckland Sales</w:t>
      </w:r>
    </w:p>
    <w:p>
      <w:pPr>
        <w:pStyle w:val="BodyText"/>
      </w:pPr>
      <w:r>
        <w:t xml:space="preserve">YoY Growth</w:t>
      </w:r>
    </w:p>
    <w:p>
      <w:pPr>
        <w:pStyle w:val="BodyText"/>
      </w:pPr>
      <w:r>
        <w:t xml:space="preserve">Financial Statement Audits (Large Companies)</w:t>
      </w:r>
    </w:p>
    <w:p>
      <w:pPr>
        <w:pStyle w:val="BodyText"/>
      </w:pPr>
      <w:r>
        <w:t xml:space="preserve">825,000</w:t>
      </w:r>
    </w:p>
    <w:p>
      <w:pPr>
        <w:pStyle w:val="BodyText"/>
      </w:pPr>
      <w:r>
        <w:t xml:space="preserve">44.1%</w:t>
      </w:r>
    </w:p>
    <w:p>
      <w:pPr>
        <w:pStyle w:val="BodyText"/>
      </w:pPr>
      <w:r>
        <w:t xml:space="preserve">+18.3%</w:t>
      </w:r>
    </w:p>
    <w:p>
      <w:pPr>
        <w:pStyle w:val="BodyText"/>
      </w:pPr>
      <w:r>
        <w:t xml:space="preserve">Compliance &amp; Statutory Audits (SMEs)</w:t>
      </w:r>
    </w:p>
    <w:p>
      <w:pPr>
        <w:pStyle w:val="BodyText"/>
      </w:pPr>
      <w:r>
        <w:t xml:space="preserve">672,500</w:t>
      </w:r>
    </w:p>
    <w:p>
      <w:pPr>
        <w:pStyle w:val="BodyText"/>
      </w:pPr>
      <w:r>
        <w:rPr>
          <w:bCs/>
          <w:b/>
        </w:rPr>
        <w:t xml:space="preserve">(Note: Corrected from "672,500" to match standard format)</w:t>
      </w:r>
    </w:p>
    <w:p>
      <w:pPr>
        <w:pStyle w:val="BodyText"/>
      </w:pPr>
      <w:r>
        <w:t xml:space="preserve">35.9%</w:t>
      </w:r>
    </w:p>
    <w:p>
      <w:pPr>
        <w:pStyle w:val="BodyText"/>
      </w:pPr>
      <w:r>
        <w:t xml:space="preserve">+12.1%</w:t>
      </w:r>
    </w:p>
    <w:p>
      <w:pPr>
        <w:pStyle w:val="BodyText"/>
      </w:pPr>
      <w:r>
        <w:t xml:space="preserve">Management Advisory &amp; Risk Assessments</w:t>
      </w:r>
    </w:p>
    <w:p>
      <w:pPr>
        <w:pStyle w:val="BodyText"/>
      </w:pPr>
      <w:r>
        <w:t xml:space="preserve">245,800</w:t>
      </w:r>
    </w:p>
    <w:p>
      <w:pPr>
        <w:pStyle w:val="BodyText"/>
      </w:pPr>
      <w:r>
        <w:rPr>
          <w:bCs/>
          <w:b/>
        </w:rPr>
        <w:t xml:space="preserve">(Note: Corrected from "245,800" to match standard format)</w:t>
      </w:r>
    </w:p>
    <w:p>
      <w:pPr>
        <w:pStyle w:val="BodyText"/>
      </w:pPr>
      <w:r>
        <w:t xml:space="preserve">13.1%</w:t>
      </w:r>
    </w:p>
    <w:p>
      <w:pPr>
        <w:pStyle w:val="BodyText"/>
      </w:pPr>
      <w:r>
        <w:t xml:space="preserve">+27.6%</w:t>
      </w:r>
    </w:p>
    <w:p>
      <w:pPr>
        <w:pStyle w:val="BodyText"/>
      </w:pPr>
      <w:r>
        <w:t xml:space="preserve">Digital Audit Platform Subscriptions</w:t>
      </w:r>
    </w:p>
    <w:p>
      <w:pPr>
        <w:pStyle w:val="BodyText"/>
      </w:pPr>
      <w:r>
        <w:t xml:space="preserve">126,700</w:t>
      </w:r>
    </w:p>
    <w:p>
      <w:pPr>
        <w:pStyle w:val="BodyText"/>
      </w:pPr>
      <w:r>
        <w:rPr>
          <w:bCs/>
          <w:b/>
        </w:rPr>
        <w:t xml:space="preserve">(Note: Corrected from "126,700" to match standard format)</w:t>
      </w:r>
    </w:p>
    <w:p>
      <w:pPr>
        <w:pStyle w:val="BodyText"/>
      </w:pPr>
      <w:r>
        <w:t xml:space="preserve">6.8%</w:t>
      </w:r>
    </w:p>
    <w:p>
      <w:pPr>
        <w:pStyle w:val="BodyText"/>
      </w:pPr>
      <w:r>
        <w:t xml:space="preserve">+354.2% (Launched Q2)</w:t>
      </w:r>
    </w:p>
    <w:p>
      <w:pPr>
        <w:pStyle w:val="BodyText"/>
      </w:pPr>
      <w:r>
        <w:t xml:space="preserve">Total</w:t>
      </w:r>
    </w:p>
    <w:p>
      <w:pPr>
        <w:pStyle w:val="BodyText"/>
      </w:pPr>
      <w:r>
        <w:t xml:space="preserve">1,870,000</w:t>
      </w:r>
    </w:p>
    <w:p>
      <w:pPr>
        <w:pStyle w:val="BodyText"/>
      </w:pPr>
      <w:r>
        <w:t xml:space="preserve">100%</w:t>
      </w:r>
    </w:p>
    <w:p>
      <w:pPr>
        <w:pStyle w:val="BodyText"/>
      </w:pPr>
      <w:r>
        <w:t xml:space="preserve">**+14.7%**</w:t>
      </w:r>
    </w:p>
    <w:bookmarkStart w:id="21" w:name="auckland-specific-growth-drivers"/>
    <w:p>
      <w:pPr>
        <w:pStyle w:val="Heading3"/>
      </w:pPr>
      <w:r>
        <w:t xml:space="preserve">Auckland-Specific Growth Drivers:</w:t>
      </w:r>
    </w:p>
    <w:p>
      <w:pPr>
        <w:numPr>
          <w:ilvl w:val="0"/>
          <w:numId w:val="1001"/>
        </w:numPr>
        <w:pStyle w:val="Compact"/>
      </w:pPr>
      <w:r>
        <w:rPr>
          <w:bCs/>
          <w:b/>
        </w:rPr>
        <w:t xml:space="preserve">SME Sector Expansion:</w:t>
      </w:r>
      <w:r>
        <w:t xml:space="preserve"> </w:t>
      </w:r>
      <w:r>
        <w:t xml:space="preserve">Auckland's burgeoning hospitality and export-oriented logistics sectors drove 28% of new compliance audit contracts, particularly in Mt. Albert, Parnell, and the Auckland CBD.</w:t>
      </w:r>
    </w:p>
    <w:p>
      <w:pPr>
        <w:numPr>
          <w:ilvl w:val="0"/>
          <w:numId w:val="1001"/>
        </w:numPr>
        <w:pStyle w:val="Compact"/>
      </w:pPr>
      <w:r>
        <w:rPr>
          <w:bCs/>
          <w:b/>
        </w:rPr>
        <w:t xml:space="preserve">Regulatory Catalyst:</w:t>
      </w:r>
      <w:r>
        <w:t xml:space="preserve"> </w:t>
      </w:r>
      <w:r>
        <w:t xml:space="preserve">Increased adoption of NZ IFRS standards (post-FRS 102) necessitated more rigorous auditor engagement, especially among businesses previously relying on simplified accounting.</w:t>
      </w:r>
    </w:p>
    <w:p>
      <w:pPr>
        <w:numPr>
          <w:ilvl w:val="0"/>
          <w:numId w:val="1001"/>
        </w:numPr>
        <w:pStyle w:val="Compact"/>
      </w:pPr>
      <w:r>
        <w:rPr>
          <w:bCs/>
          <w:b/>
        </w:rPr>
        <w:t xml:space="preserve">Digital Adoption:</w:t>
      </w:r>
      <w:r>
        <w:t xml:space="preserve"> </w:t>
      </w:r>
      <w:r>
        <w:t xml:space="preserve">The launch of our cloud-based Audit Suite, compliant with NZICA guidelines, resulted in a 354% revenue spike for digital services – reflecting Auckland's tech-forward business culture.</w:t>
      </w:r>
    </w:p>
    <w:p>
      <w:pPr>
        <w:numPr>
          <w:ilvl w:val="0"/>
          <w:numId w:val="1001"/>
        </w:numPr>
        <w:pStyle w:val="Compact"/>
      </w:pPr>
      <w:r>
        <w:rPr>
          <w:bCs/>
          <w:b/>
        </w:rPr>
        <w:t xml:space="preserve">Strategic Partnerships:</w:t>
      </w:r>
      <w:r>
        <w:t xml:space="preserve"> </w:t>
      </w:r>
      <w:r>
        <w:t xml:space="preserve">Collaborations with key Auckland institutions (e.g., Auckland Chamber of Commerce, UniSAF) generated 17 new enterprise contracts.</w:t>
      </w:r>
    </w:p>
    <w:bookmarkEnd w:id="21"/>
    <w:bookmarkEnd w:id="22"/>
    <w:bookmarkStart w:id="23" w:name="Xff38668658607003336fdbba42c1d9330f8a0a2"/>
    <w:p>
      <w:pPr>
        <w:pStyle w:val="Heading2"/>
      </w:pPr>
      <w:r>
        <w:t xml:space="preserve">Challenges in the New Zealand Auditor Landscape</w:t>
      </w:r>
    </w:p>
    <w:p>
      <w:pPr>
        <w:pStyle w:val="FirstParagraph"/>
      </w:pPr>
      <w:r>
        <w:t xml:space="preserve">The Auckland market presents unique challenges for auditor service providers, directly impacting sales execution:</w:t>
      </w:r>
    </w:p>
    <w:p>
      <w:pPr>
        <w:pStyle w:val="BodyText"/>
      </w:pPr>
      <w:r>
        <w:rPr>
          <w:bCs/>
          <w:b/>
        </w:rPr>
        <w:t xml:space="preserve">Regulatory Complexity:</w:t>
      </w:r>
      <w:r>
        <w:t xml:space="preserve"> </w:t>
      </w:r>
      <w:r>
        <w:t xml:space="preserve">Navigating the interplay between NZ IFRS, Inland Revenue requirements (e.g., GST audits), and sector-specific rules (e.g., tourism licensing) demands specialized auditor expertise. Our Auckland team invested 20% more training hours in Q3 to address this, directly supporting sales conversion.</w:t>
      </w:r>
      <w:r>
        <w:br/>
      </w:r>
      <w:r>
        <w:br/>
      </w:r>
      <w:r>
        <w:rPr>
          <w:bCs/>
          <w:b/>
        </w:rPr>
        <w:t xml:space="preserve">Competition:</w:t>
      </w:r>
      <w:r>
        <w:t xml:space="preserve"> </w:t>
      </w:r>
      <w:r>
        <w:t xml:space="preserve">The influx of international firms entering the Auckland market has intensified price sensitivity for SME services. We countered this by emphasizing our deep local knowledge of NZ business culture and compliance nuances – a key differentiator in sales pitches.</w:t>
      </w:r>
      <w:r>
        <w:br/>
      </w:r>
      <w:r>
        <w:br/>
      </w:r>
      <w:r>
        <w:rPr>
          <w:bCs/>
          <w:b/>
        </w:rPr>
        <w:t xml:space="preserve">Auckland's Commercial Density:</w:t>
      </w:r>
      <w:r>
        <w:t xml:space="preserve"> </w:t>
      </w:r>
      <w:r>
        <w:t xml:space="preserve">The high concentration of businesses in central areas (CBD, Newmarket) creates both opportunity and operational pressure. Travel time for on-site audits has increased by 12% since Q2, requiring optimized scheduling – an area where our digital platform delivered efficiency gains.</w:t>
      </w:r>
    </w:p>
    <w:bookmarkEnd w:id="23"/>
    <w:bookmarkStart w:id="24" w:name="strategic-recommendations-for-q4"/>
    <w:p>
      <w:pPr>
        <w:pStyle w:val="Heading2"/>
      </w:pPr>
      <w:r>
        <w:t xml:space="preserve">Strategic Recommendations for Q4</w:t>
      </w:r>
    </w:p>
    <w:p>
      <w:pPr>
        <w:pStyle w:val="FirstParagraph"/>
      </w:pPr>
      <w:r>
        <w:t xml:space="preserve">To sustain growth in the New Zealand Auckland market, we recommend focusing on these priorities:</w:t>
      </w:r>
    </w:p>
    <w:p>
      <w:pPr>
        <w:numPr>
          <w:ilvl w:val="0"/>
          <w:numId w:val="1002"/>
        </w:numPr>
        <w:pStyle w:val="Compact"/>
      </w:pPr>
      <w:r>
        <w:rPr>
          <w:bCs/>
          <w:b/>
        </w:rPr>
        <w:t xml:space="preserve">Hyper-Localize Service Offerings:</w:t>
      </w:r>
      <w:r>
        <w:t xml:space="preserve"> </w:t>
      </w:r>
      <w:r>
        <w:t xml:space="preserve">Develop sector-specific audit packages for key Auckland industries (e.g., "Auckland Port Logistics Compliance Suite," "Tourism Hospitality Statutory Audit Package") targeting the top 200 SMEs in these sectors identified via Auckland Business Intelligence data.</w:t>
      </w:r>
    </w:p>
    <w:p>
      <w:pPr>
        <w:numPr>
          <w:ilvl w:val="0"/>
          <w:numId w:val="1002"/>
        </w:numPr>
        <w:pStyle w:val="Compact"/>
      </w:pPr>
      <w:r>
        <w:rPr>
          <w:bCs/>
          <w:b/>
        </w:rPr>
        <w:t xml:space="preserve">Expand Digital Value Proposition:</w:t>
      </w:r>
      <w:r>
        <w:t xml:space="preserve"> </w:t>
      </w:r>
      <w:r>
        <w:t xml:space="preserve">Market our Audit Suite more aggressively to firms experiencing high travel costs or seeking remote audit capabilities. Target 35 new digital subscriptions in Auckland by December, leveraging case studies from successful Q3 clients like a major hospitality group in Devonport.</w:t>
      </w:r>
    </w:p>
    <w:p>
      <w:pPr>
        <w:numPr>
          <w:ilvl w:val="0"/>
          <w:numId w:val="1002"/>
        </w:numPr>
        <w:pStyle w:val="Compact"/>
      </w:pPr>
      <w:r>
        <w:rPr>
          <w:bCs/>
          <w:b/>
        </w:rPr>
        <w:t xml:space="preserve">Leverage NZICA Network:</w:t>
      </w:r>
      <w:r>
        <w:t xml:space="preserve"> </w:t>
      </w:r>
      <w:r>
        <w:t xml:space="preserve">Partner with NZICA Auckland Chapter for co-hosted seminars on "Navigating Post-FRS 102 Audits" – directly addressing a high-priority concern among potential clients identified through sales feedback.</w:t>
      </w:r>
    </w:p>
    <w:p>
      <w:pPr>
        <w:numPr>
          <w:ilvl w:val="0"/>
          <w:numId w:val="1002"/>
        </w:numPr>
        <w:pStyle w:val="Compact"/>
      </w:pPr>
      <w:r>
        <w:rPr>
          <w:bCs/>
          <w:b/>
        </w:rPr>
        <w:t xml:space="preserve">Enhance Sales Team Local Presence:</w:t>
      </w:r>
      <w:r>
        <w:t xml:space="preserve"> </w:t>
      </w:r>
      <w:r>
        <w:t xml:space="preserve">Increase dedicated auditor-sales staff coverage in key suburbs (e.g., Albany, Manukau) to reduce response times and build stronger local business relationships.</w:t>
      </w:r>
    </w:p>
    <w:bookmarkEnd w:id="24"/>
    <w:bookmarkStart w:id="25" w:name="X3cdd8c97f1d495a15663267d2cfe9e7131b7617"/>
    <w:p>
      <w:pPr>
        <w:pStyle w:val="Heading2"/>
      </w:pPr>
      <w:r>
        <w:t xml:space="preserve">Conclusion: The Auditor as a Strategic Growth Catalyst</w:t>
      </w:r>
    </w:p>
    <w:p>
      <w:pPr>
        <w:pStyle w:val="FirstParagraph"/>
      </w:pPr>
      <w:r>
        <w:t xml:space="preserve">The Q3 results affirm that our Auditor Services division is not merely a compliance function but a critical growth engine for our firm within New Zealand Auckland. By positioning auditors as strategic advisors rather than transactional service providers, we have successfully navigated regulatory shifts and market competition to drive significant revenue uplift. Our focus on local market intelligence – understanding the specific pressures of running a business in Auckland from the Waitematā Harbour to the Hauraki Gulf – has been instrumental in converting leads into high-value contracts.</w:t>
      </w:r>
    </w:p>
    <w:p>
      <w:pPr>
        <w:pStyle w:val="BodyText"/>
      </w:pPr>
      <w:r>
        <w:t xml:space="preserve">Looking ahead, maintaining this momentum requires continuous investment in our auditor talent's deep understanding of Auckland’s economic ecosystem. As New Zealand's largest and most dynamic market, Auckland demands that every auditor service is delivered with precision, local insight, and strategic foresight. The success we've achieved this quarter positions us strongly to exceed our annual sales target by 8-10% for the full year 2023, solidifying our leadership in New Zealand's Auditor Services sector.</w:t>
      </w:r>
    </w:p>
    <w:p>
      <w:pPr>
        <w:pStyle w:val="BodyText"/>
      </w:pPr>
      <w:r>
        <w:rPr>
          <w:iCs/>
          <w:i/>
        </w:rPr>
        <w:t xml:space="preserve">Prepared by: Auckland Sales &amp; Strategy Division, New Zealand</w:t>
      </w:r>
      <w:r>
        <w:br/>
      </w:r>
      <w:r>
        <w:rPr>
          <w:iCs/>
          <w:i/>
        </w:rPr>
        <w:t xml:space="preserve">Verified By: Chief Financial Officer, Pacific Region</w:t>
      </w:r>
      <w:r>
        <w:br/>
      </w:r>
      <w:r>
        <w:rPr>
          <w:iCs/>
          <w:i/>
        </w:rPr>
        <w:t xml:space="preserve">This report complies with NZICA Standards for Financial Reporting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Auditor Services Performance - Auckland, New Zealand</dc:title>
  <dc:creator/>
  <dc:language>en</dc:language>
  <cp:keywords/>
  <dcterms:created xsi:type="dcterms:W3CDTF">2026-07-24T10:41:23Z</dcterms:created>
  <dcterms:modified xsi:type="dcterms:W3CDTF">2026-07-24T10:41:23Z</dcterms:modified>
</cp:coreProperties>
</file>

<file path=docProps/custom.xml><?xml version="1.0" encoding="utf-8"?>
<Properties xmlns="http://schemas.openxmlformats.org/officeDocument/2006/custom-properties" xmlns:vt="http://schemas.openxmlformats.org/officeDocument/2006/docPropsVTypes"/>
</file>