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&amp;</w:t>
      </w:r>
      <w:r>
        <w:t xml:space="preserve"> </w:t>
      </w:r>
      <w:r>
        <w:t xml:space="preserve">Audit</w:t>
      </w:r>
      <w:r>
        <w:t xml:space="preserve"> </w:t>
      </w:r>
      <w:r>
        <w:t xml:space="preserve">Summary:</w:t>
      </w:r>
      <w:r>
        <w:t xml:space="preserve"> </w:t>
      </w:r>
      <w:r>
        <w:t xml:space="preserve">Nigeria</w:t>
      </w:r>
      <w:r>
        <w:t xml:space="preserve"> </w:t>
      </w:r>
      <w:r>
        <w:t xml:space="preserve">Abuja</w:t>
      </w:r>
      <w:r>
        <w:t xml:space="preserve"> </w:t>
      </w:r>
      <w:r>
        <w:t xml:space="preserve">Region</w:t>
      </w:r>
    </w:p>
    <w:bookmarkStart w:id="27" w:name="X38ef618dcb1369e8caf6779f3868f0cd6d3cabd"/>
    <w:p>
      <w:pPr>
        <w:pStyle w:val="Heading1"/>
      </w:pPr>
      <w:r>
        <w:t xml:space="preserve">Comprehensive Sales Performance Report and Independent Audit Summary for Nigeria Abuja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Management</w:t>
      </w:r>
      <w:r>
        <w:br/>
      </w:r>
      <w:r>
        <w:rPr>
          <w:bCs/>
          <w:b/>
        </w:rPr>
        <w:t xml:space="preserve">Prepared By:</w:t>
      </w:r>
      <w:r>
        <w:t xml:space="preserve"> </w:t>
      </w:r>
      <w:r>
        <w:t xml:space="preserve">Central Audit &amp; Compliance Department</w:t>
      </w:r>
      <w:r>
        <w:br/>
      </w:r>
      <w:r>
        <w:rPr>
          <w:bCs/>
          <w:b/>
        </w:rPr>
        <w:t xml:space="preserve">Region Covered:</w:t>
      </w:r>
      <w:r>
        <w:t xml:space="preserve"> </w:t>
      </w:r>
      <w:r>
        <w:t xml:space="preserve">Nigeria Abuja Federal Capital Territory</w:t>
      </w:r>
    </w:p>
    <w:bookmarkStart w:id="20" w:name="i.-executive-summary"/>
    <w:p>
      <w:pPr>
        <w:pStyle w:val="Heading2"/>
      </w:pPr>
      <w:r>
        <w:t xml:space="preserve">I. Executive Summary</w:t>
      </w:r>
    </w:p>
    <w:p>
      <w:pPr>
        <w:pStyle w:val="FirstParagraph"/>
      </w:pPr>
      <w:r>
        <w:t xml:space="preserve">This Sales Report presents an independent auditor's comprehensive review of sales operations across the Nigeria Abuja region for Q3 2023. The Auditor conducted a rigorous examination of all sales channels, financial records, and compliance protocols in accordance with Nigerian Financial Reporting Standards (NFRS) and corporate governance policies. Key findings indicate a 14.7% year-over-year growth in regional revenue reaching ₦84.3 billion, driven primarily by government procurement contracts and enterprise client acquisitions. However, the Auditor identified critical gaps in sales documentation integrity (22% of transactions) and VAT compliance that require immediate remediation to maintain operational license in Nigeria Abuja.</w:t>
      </w:r>
    </w:p>
    <w:bookmarkEnd w:id="20"/>
    <w:bookmarkStart w:id="21" w:name="Xa5515b4a96304a63d4fb2e438e24b96b8d9d501"/>
    <w:p>
      <w:pPr>
        <w:pStyle w:val="Heading2"/>
      </w:pPr>
      <w:r>
        <w:t xml:space="preserve">II. Sales Performance Analysis: Nigeria Abuja Market</w:t>
      </w:r>
    </w:p>
    <w:p>
      <w:pPr>
        <w:pStyle w:val="FirstParagraph"/>
      </w:pPr>
      <w:r>
        <w:t xml:space="preserve">The Nigeria Abuja region demonstrated exceptional performance in the public sector vertical, securing 37% of total regional contracts through government tenders. Notable achievements include:</w:t>
      </w:r>
    </w:p>
    <w:p>
      <w:pPr>
        <w:numPr>
          <w:ilvl w:val="0"/>
          <w:numId w:val="1001"/>
        </w:numPr>
        <w:pStyle w:val="Compact"/>
      </w:pPr>
      <w:r>
        <w:rPr>
          <w:bCs/>
          <w:b/>
        </w:rPr>
        <w:t xml:space="preserve">Government Contracts:</w:t>
      </w:r>
      <w:r>
        <w:t xml:space="preserve"> </w:t>
      </w:r>
      <w:r>
        <w:t xml:space="preserve">₦41.2 billion (49% of total sales) from Federal Ministry of Health and Abuja Municipal Council</w:t>
      </w:r>
    </w:p>
    <w:p>
      <w:pPr>
        <w:numPr>
          <w:ilvl w:val="0"/>
          <w:numId w:val="1001"/>
        </w:numPr>
        <w:pStyle w:val="Compact"/>
      </w:pPr>
      <w:r>
        <w:rPr>
          <w:bCs/>
          <w:b/>
        </w:rPr>
        <w:t xml:space="preserve">Enterprise Sales Growth:</w:t>
      </w:r>
      <w:r>
        <w:t xml:space="preserve"> </w:t>
      </w:r>
      <w:r>
        <w:t xml:space="preserve">31% increase in Fortune 500 client acquisitions at the Abuja Technology Park</w:t>
      </w:r>
    </w:p>
    <w:p>
      <w:pPr>
        <w:numPr>
          <w:ilvl w:val="0"/>
          <w:numId w:val="1001"/>
        </w:numPr>
        <w:pStyle w:val="Compact"/>
      </w:pPr>
      <w:r>
        <w:rPr>
          <w:bCs/>
          <w:b/>
        </w:rPr>
        <w:t xml:space="preserve">Channel Performance:</w:t>
      </w:r>
      <w:r>
        <w:t xml:space="preserve"> </w:t>
      </w:r>
      <w:r>
        <w:t xml:space="preserve">Direct sales team exceeded targets by 18.3%; distributor network lagged at -5.7%</w:t>
      </w:r>
    </w:p>
    <w:p>
      <w:pPr>
        <w:pStyle w:val="FirstParagraph"/>
      </w:pPr>
      <w:r>
        <w:t xml:space="preserve">The Auditor confirmed all revenue figures align with Nigeria's Federal Inland Revenue Service (FIRS) requirements, though documentation inconsistencies were observed in 22% of transactions involving Abuja-based public entities. This poses significant risk to the company's compliance standing under Nigerian Corporate Affairs Commission (CAC) regulations.</w:t>
      </w:r>
    </w:p>
    <w:bookmarkEnd w:id="21"/>
    <w:bookmarkStart w:id="22" w:name="X7a6714e73af70f6a5dbe11e04d4556402d9b0b7"/>
    <w:p>
      <w:pPr>
        <w:pStyle w:val="Heading2"/>
      </w:pPr>
      <w:r>
        <w:t xml:space="preserve">III. Auditor Findings: Critical Compliance Gaps</w:t>
      </w:r>
    </w:p>
    <w:p>
      <w:pPr>
        <w:pStyle w:val="FirstParagraph"/>
      </w:pPr>
      <w:r>
        <w:t xml:space="preserve">As mandated by our internal control framework, the Independent Auditor conducted unannounced field audits across 17 sales offices in Nigeria Abuja. Key findings include:</w:t>
      </w:r>
    </w:p>
    <w:p>
      <w:pPr>
        <w:pStyle w:val="BodyText"/>
      </w:pPr>
      <w:r>
        <w:t xml:space="preserve">Compliance Area</w:t>
      </w:r>
    </w:p>
    <w:p>
      <w:pPr>
        <w:pStyle w:val="BodyText"/>
      </w:pPr>
      <w:r>
        <w:t xml:space="preserve">Observation</w:t>
      </w:r>
    </w:p>
    <w:p>
      <w:pPr>
        <w:pStyle w:val="BodyText"/>
      </w:pPr>
      <w:r>
        <w:t xml:space="preserve">Risk Level</w:t>
      </w:r>
    </w:p>
    <w:p>
      <w:pPr>
        <w:pStyle w:val="BodyText"/>
      </w:pPr>
      <w:r>
        <w:t xml:space="preserve">Sales Documentation Accuracy</w:t>
      </w:r>
    </w:p>
    <w:p>
      <w:pPr>
        <w:pStyle w:val="BodyText"/>
      </w:pPr>
      <w:r>
        <w:t xml:space="preserve">22% of government contracts lacked signed delivery notes (Nigeria Abuja Municipal Council cases)</w:t>
      </w:r>
    </w:p>
    <w:p>
      <w:pPr>
        <w:pStyle w:val="BodyText"/>
      </w:pPr>
      <w:r>
        <w:t xml:space="preserve">High (CAC Non-Compliance Risk)</w:t>
      </w:r>
    </w:p>
    <w:p>
      <w:pPr>
        <w:pStyle w:val="BodyText"/>
      </w:pPr>
      <w:r>
        <w:t xml:space="preserve">VAT Remittance Compliance</w:t>
      </w:r>
    </w:p>
    <w:p>
      <w:pPr>
        <w:pStyle w:val="BodyText"/>
      </w:pPr>
      <w:r>
        <w:t xml:space="preserve">3.8% underpayment on B2B transactions with Abuja-based clients</w:t>
      </w:r>
    </w:p>
    <w:p>
      <w:pPr>
        <w:pStyle w:val="BodyText"/>
      </w:pPr>
      <w:r>
        <w:t xml:space="preserve">Medium-High (FIRS Penalty Exposure)</w:t>
      </w:r>
    </w:p>
    <w:p>
      <w:pPr>
        <w:pStyle w:val="BodyText"/>
      </w:pPr>
      <w:r>
        <w:t xml:space="preserve">Sales Incentive Management</w:t>
      </w:r>
    </w:p>
    <w:p>
      <w:pPr>
        <w:pStyle w:val="BodyText"/>
      </w:pPr>
      <w:r>
        <w:t xml:space="preserve">14% of incentive claims lacked verifiable KPI evidence</w:t>
      </w:r>
    </w:p>
    <w:p>
      <w:pPr>
        <w:pStyle w:val="BodyText"/>
      </w:pPr>
      <w:r>
        <w:rPr>
          <w:iCs/>
          <w:i/>
          <w:bCs/>
          <w:b/>
        </w:rPr>
        <w:t xml:space="preserve">Medium (Internal Fraud Risk)</w:t>
      </w:r>
    </w:p>
    <w:p>
      <w:pPr>
        <w:pStyle w:val="BodyText"/>
      </w:pPr>
      <w:r>
        <w:t xml:space="preserve">The Auditor emphasizes that these gaps are particularly critical in Nigeria Abuja due to the region's status as Nigeria's federal capital, where regulatory scrutiny is exceptionally stringent under the Abuja Municipal Council Ordinance and National Tax Policy.</w:t>
      </w:r>
    </w:p>
    <w:bookmarkEnd w:id="22"/>
    <w:bookmarkStart w:id="23" w:name="X43525f091112828f0b7fe44bed3022537b9e018"/>
    <w:p>
      <w:pPr>
        <w:pStyle w:val="Heading2"/>
      </w:pPr>
      <w:r>
        <w:t xml:space="preserve">IV. Market-Specific Challenges in Nigeria Abuja</w:t>
      </w:r>
    </w:p>
    <w:p>
      <w:pPr>
        <w:pStyle w:val="FirstParagraph"/>
      </w:pPr>
      <w:r>
        <w:t xml:space="preserve">The Auditor documented region-specific operational hurdles unique to Nigeria Abuja:</w:t>
      </w:r>
    </w:p>
    <w:p>
      <w:pPr>
        <w:numPr>
          <w:ilvl w:val="0"/>
          <w:numId w:val="1002"/>
        </w:numPr>
        <w:pStyle w:val="Compact"/>
      </w:pPr>
      <w:r>
        <w:rPr>
          <w:bCs/>
          <w:b/>
        </w:rPr>
        <w:t xml:space="preserve">Procurement Complexity:</w:t>
      </w:r>
      <w:r>
        <w:t xml:space="preserve"> </w:t>
      </w:r>
      <w:r>
        <w:t xml:space="preserve">Government tenders require 37+ documentation steps versus national average of 19, causing 2.4-week sales cycle delays for Abuja-based public contracts.</w:t>
      </w:r>
    </w:p>
    <w:p>
      <w:pPr>
        <w:numPr>
          <w:ilvl w:val="0"/>
          <w:numId w:val="1002"/>
        </w:numPr>
        <w:pStyle w:val="Compact"/>
      </w:pPr>
      <w:r>
        <w:rPr>
          <w:bCs/>
          <w:b/>
        </w:rPr>
        <w:t xml:space="preserve">Infrastructure Limitations:</w:t>
      </w:r>
      <w:r>
        <w:t xml:space="preserve"> </w:t>
      </w:r>
      <w:r>
        <w:t xml:space="preserve">Frequent power outages at the Abuja International Trade Centre disrupted CRM data synchronization (18% of transactions affected).</w:t>
      </w:r>
    </w:p>
    <w:p>
      <w:pPr>
        <w:numPr>
          <w:ilvl w:val="0"/>
          <w:numId w:val="1002"/>
        </w:numPr>
        <w:pStyle w:val="Compact"/>
      </w:pPr>
      <w:r>
        <w:rPr>
          <w:bCs/>
          <w:b/>
        </w:rPr>
        <w:t xml:space="preserve">Cultural Nuances:</w:t>
      </w:r>
      <w:r>
        <w:t xml:space="preserve"> </w:t>
      </w:r>
      <w:r>
        <w:t xml:space="preserve">63% of sales failures occurred due to misalignment with Abuja's executive decision-making protocols (e.g., requiring multiple sign-offs from state ministry heads).</w:t>
      </w:r>
    </w:p>
    <w:p>
      <w:pPr>
        <w:pStyle w:val="FirstParagraph"/>
      </w:pPr>
      <w:r>
        <w:t xml:space="preserve">These factors directly impacted the Nigeria Abuja team's ability to maintain 100% compliance despite achieving revenue targets.</w:t>
      </w:r>
    </w:p>
    <w:bookmarkEnd w:id="23"/>
    <w:bookmarkStart w:id="24" w:name="Xd9e033f6651ec404e8ec815f8bead3cad2a4330"/>
    <w:p>
      <w:pPr>
        <w:pStyle w:val="Heading2"/>
      </w:pPr>
      <w:r>
        <w:t xml:space="preserve">V. Auditor Recommendations for Nigeria Abuja Operations</w:t>
      </w:r>
    </w:p>
    <w:p>
      <w:pPr>
        <w:pStyle w:val="FirstParagraph"/>
      </w:pPr>
      <w:r>
        <w:t xml:space="preserve">Based on the comprehensive Sales Report audit, the following actions are mandatory for sustainable operations in Nigeria Abuja:</w:t>
      </w:r>
    </w:p>
    <w:p>
      <w:pPr>
        <w:numPr>
          <w:ilvl w:val="0"/>
          <w:numId w:val="1003"/>
        </w:numPr>
        <w:pStyle w:val="Compact"/>
      </w:pPr>
      <w:r>
        <w:rPr>
          <w:bCs/>
          <w:b/>
        </w:rPr>
        <w:t xml:space="preserve">Implement Digital Documentation Suite:</w:t>
      </w:r>
      <w:r>
        <w:t xml:space="preserve"> </w:t>
      </w:r>
      <w:r>
        <w:t xml:space="preserve">Deploy blockchain-based contract management system compliant with Nigerian Data Protection Regulation (NDPR) by Q1 2024 to eliminate paper trails.</w:t>
      </w:r>
    </w:p>
    <w:p>
      <w:pPr>
        <w:numPr>
          <w:ilvl w:val="0"/>
          <w:numId w:val="1003"/>
        </w:numPr>
        <w:pStyle w:val="Compact"/>
      </w:pPr>
      <w:r>
        <w:rPr>
          <w:bCs/>
          <w:b/>
        </w:rPr>
        <w:t xml:space="preserve">Establish Abuja Tax Compliance Unit:</w:t>
      </w:r>
      <w:r>
        <w:t xml:space="preserve"> </w:t>
      </w:r>
      <w:r>
        <w:t xml:space="preserve">Create dedicated tax team in Abuja office to handle FIRS reporting, reducing underpayment risk by 95% based on historical data.</w:t>
      </w:r>
    </w:p>
    <w:p>
      <w:pPr>
        <w:numPr>
          <w:ilvl w:val="0"/>
          <w:numId w:val="1003"/>
        </w:numPr>
        <w:pStyle w:val="Compact"/>
      </w:pPr>
      <w:r>
        <w:rPr>
          <w:bCs/>
          <w:b/>
        </w:rPr>
        <w:t xml:space="preserve">Cultural Training Program:</w:t>
      </w:r>
      <w:r>
        <w:t xml:space="preserve"> </w:t>
      </w:r>
      <w:r>
        <w:t xml:space="preserve">Mandate government procurement protocol training for all sales staff targeting Nigeria Abuja public sector accounts.</w:t>
      </w:r>
    </w:p>
    <w:p>
      <w:pPr>
        <w:numPr>
          <w:ilvl w:val="0"/>
          <w:numId w:val="1003"/>
        </w:numPr>
        <w:pStyle w:val="Compact"/>
      </w:pPr>
      <w:r>
        <w:rPr>
          <w:bCs/>
          <w:b/>
        </w:rPr>
        <w:t xml:space="preserve">Infrastructure Redundancy:</w:t>
      </w:r>
      <w:r>
        <w:t xml:space="preserve"> </w:t>
      </w:r>
      <w:r>
        <w:t xml:space="preserve">Install solar-powered backup systems at all Abuja sales hubs to prevent CRM disruptions during power outages.</w:t>
      </w:r>
    </w:p>
    <w:p>
      <w:pPr>
        <w:pStyle w:val="FirstParagraph"/>
      </w:pPr>
      <w:r>
        <w:t xml:space="preserve">The Auditor stresses that failure to implement these measures will result in increased regulatory penalties and potential suspension of operating licenses under the Nigerian Investment Promotion Commission (NIPC) guidelines applicable to Abuja businesses.</w:t>
      </w:r>
    </w:p>
    <w:bookmarkEnd w:id="24"/>
    <w:bookmarkStart w:id="26" w:name="vi.-conclusion"/>
    <w:p>
      <w:pPr>
        <w:pStyle w:val="Heading2"/>
      </w:pPr>
      <w:r>
        <w:t xml:space="preserve">VI. Conclusion</w:t>
      </w:r>
    </w:p>
    <w:p>
      <w:pPr>
        <w:pStyle w:val="FirstParagraph"/>
      </w:pPr>
      <w:r>
        <w:t xml:space="preserve">This Sales Report underscores Nigeria Abuja's strategic importance as our largest government-focused market, generating 38% of Nigeria's total sales. However, the Auditor confirms that current compliance deficiencies present a critical business risk requiring immediate action. With the right implementation of these recommendations, the Nigeria Abuja region can achieve both its financial targets and regulatory excellence simultaneously.</w:t>
      </w:r>
    </w:p>
    <w:p>
      <w:pPr>
        <w:pStyle w:val="BodyText"/>
      </w:pPr>
      <w:r>
        <w:t xml:space="preserve">The Auditor remains available for direct consultation with Abuja Regional Management to develop an implementation roadmap compliant with all Nigerian federal regulations. All sales personnel in Nigeria Abuja must complete mandatory compliance training by December 15, 2023, to maintain operational eligibility.</w:t>
      </w:r>
    </w:p>
    <w:bookmarkStart w:id="25" w:name="X77f0d3e219a5e16f2f9af2b063ce8a0bd5da375"/>
    <w:p>
      <w:pPr>
        <w:pStyle w:val="Heading3"/>
      </w:pPr>
      <w:r>
        <w:t xml:space="preserve">Appendix: Regulatory Compliance Metrics (Nigeria Abuja Region)</w:t>
      </w:r>
    </w:p>
    <w:p>
      <w:pPr>
        <w:numPr>
          <w:ilvl w:val="0"/>
          <w:numId w:val="1004"/>
        </w:numPr>
        <w:pStyle w:val="Compact"/>
      </w:pPr>
      <w:r>
        <w:rPr>
          <w:bCs/>
          <w:b/>
        </w:rPr>
        <w:t xml:space="preserve">Current Compliance Rate:</w:t>
      </w:r>
      <w:r>
        <w:t xml:space="preserve"> </w:t>
      </w:r>
      <w:r>
        <w:t xml:space="preserve">78.4% (vs. required 95%)</w:t>
      </w:r>
    </w:p>
    <w:p>
      <w:pPr>
        <w:numPr>
          <w:ilvl w:val="0"/>
          <w:numId w:val="1004"/>
        </w:numPr>
        <w:pStyle w:val="Compact"/>
      </w:pPr>
      <w:r>
        <w:rPr>
          <w:bCs/>
          <w:b/>
        </w:rPr>
        <w:t xml:space="preserve">FIRS Penalty Exposure:</w:t>
      </w:r>
      <w:r>
        <w:t xml:space="preserve"> </w:t>
      </w:r>
      <w:r>
        <w:t xml:space="preserve">₦12.7M annually at current non-compliance rate</w:t>
      </w:r>
    </w:p>
    <w:p>
      <w:pPr>
        <w:numPr>
          <w:ilvl w:val="0"/>
          <w:numId w:val="1004"/>
        </w:numPr>
        <w:pStyle w:val="Compact"/>
      </w:pPr>
      <w:r>
        <w:rPr>
          <w:bCs/>
          <w:b/>
        </w:rPr>
        <w:t xml:space="preserve">Nigeria Abuja Government Contract Win Rate:</w:t>
      </w:r>
      <w:r>
        <w:t xml:space="preserve"> </w:t>
      </w:r>
      <w:r>
        <w:t xml:space="preserve">64% (above national average of 58%)</w:t>
      </w:r>
    </w:p>
    <w:p>
      <w:pPr>
        <w:pStyle w:val="FirstParagraph"/>
      </w:pPr>
      <w:r>
        <w:rPr>
          <w:iCs/>
          <w:i/>
        </w:rPr>
        <w:t xml:space="preserve">This document constitutes the official Sales Report and Audit Certification for Nigeria Abuja region operations as per Section 12.3 of our Corporate Governance Framework. All findings have been validated through physical site audits across all Abuja sales locations.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&amp; Audit Summary: Nigeria Abuja Region</dc:title>
  <dc:creator/>
  <dc:language>en</dc:language>
  <cp:keywords/>
  <dcterms:created xsi:type="dcterms:W3CDTF">2026-07-24T00:20:27Z</dcterms:created>
  <dcterms:modified xsi:type="dcterms:W3CDTF">2026-07-24T00:20:27Z</dcterms:modified>
</cp:coreProperties>
</file>

<file path=docProps/custom.xml><?xml version="1.0" encoding="utf-8"?>
<Properties xmlns="http://schemas.openxmlformats.org/officeDocument/2006/custom-properties" xmlns:vt="http://schemas.openxmlformats.org/officeDocument/2006/docPropsVTypes"/>
</file>