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cf62eca144e0a267caa129c3375bfd9afd4382c"/>
    <w:p>
      <w:pPr>
        <w:pStyle w:val="Heading1"/>
      </w:pPr>
      <w:r>
        <w:t xml:space="preserve">Sales Report: Auditor Service Performance Analysis for Russia Moscow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Audit Solutions - Moscow Operations</w:t>
      </w:r>
    </w:p>
    <w:bookmarkStart w:id="20" w:name="i.-executive-summary"/>
    <w:p>
      <w:pPr>
        <w:pStyle w:val="Heading2"/>
      </w:pPr>
      <w:r>
        <w:t xml:space="preserve">I. Executive Summary</w:t>
      </w:r>
    </w:p>
    <w:p>
      <w:pPr>
        <w:pStyle w:val="FirstParagraph"/>
      </w:pPr>
      <w:r>
        <w:t xml:space="preserve">This Sales Report presents a comprehensive analysis of auditor service performance across the Russia Moscow territory during Q3 2023. The report confirms that our audit services portfolio achieved a 15% year-over-year growth in sales, significantly outperforming regional market averages. Moscow continues to serve as the critical revenue engine for our operations in Russia, contributing 68% of total territory sales despite economic headwinds. This success underscores the strategic importance of maintaining our auditor expertise and localized service delivery model within Moscow's complex financial landscape. The report details key account wins, market trends affecting auditor demand, and actionable recommendations to sustain momentum.</w:t>
      </w:r>
    </w:p>
    <w:bookmarkEnd w:id="20"/>
    <w:bookmarkStart w:id="21" w:name="X3d8d657de2c36bb078a93e4a5afce9425fd9e66"/>
    <w:p>
      <w:pPr>
        <w:pStyle w:val="Heading2"/>
      </w:pPr>
      <w:r>
        <w:t xml:space="preserve">II. Sales Performance Overview: Russia Moscow Territory</w:t>
      </w:r>
    </w:p>
    <w:p>
      <w:pPr>
        <w:pStyle w:val="FirstParagraph"/>
      </w:pPr>
      <w:r>
        <w:t xml:space="preserve">Q3 2023 witnessed robust performance for our auditor services in Moscow. Total sales reached $4.8M USD (vs. $4.17M in Q3 2022), with a 9% quarterly increase from Q2 2023. This growth was driven by three primary segments:</w:t>
      </w:r>
    </w:p>
    <w:p>
      <w:pPr>
        <w:numPr>
          <w:ilvl w:val="0"/>
          <w:numId w:val="1001"/>
        </w:numPr>
        <w:pStyle w:val="Compact"/>
      </w:pPr>
      <w:r>
        <w:rPr>
          <w:bCs/>
          <w:b/>
        </w:rPr>
        <w:t xml:space="preserve">Financial Statement Audits:</w:t>
      </w:r>
      <w:r>
        <w:t xml:space="preserve"> </w:t>
      </w:r>
      <w:r>
        <w:t xml:space="preserve">+18% YoY ($1.9M), fueled by mandatory audits for newly listed Moscow Stock Exchange companies</w:t>
      </w:r>
    </w:p>
    <w:p>
      <w:pPr>
        <w:numPr>
          <w:ilvl w:val="0"/>
          <w:numId w:val="1001"/>
        </w:numPr>
        <w:pStyle w:val="Compact"/>
      </w:pPr>
      <w:r>
        <w:rPr>
          <w:bCs/>
          <w:b/>
        </w:rPr>
        <w:t xml:space="preserve">Compliance &amp; Risk Management Audits:</w:t>
      </w:r>
      <w:r>
        <w:t xml:space="preserve"> </w:t>
      </w:r>
      <w:r>
        <w:t xml:space="preserve">+22% YoY ($1.7M), responding to increased FSB regulatory scrutiny</w:t>
      </w:r>
    </w:p>
    <w:p>
      <w:pPr>
        <w:numPr>
          <w:ilvl w:val="0"/>
          <w:numId w:val="1001"/>
        </w:numPr>
        <w:pStyle w:val="Compact"/>
      </w:pPr>
      <w:r>
        <w:rPr>
          <w:bCs/>
          <w:b/>
        </w:rPr>
        <w:t xml:space="preserve">Internal Audit Outsourcing:</w:t>
      </w:r>
      <w:r>
        <w:t xml:space="preserve"> </w:t>
      </w:r>
      <w:r>
        <w:t xml:space="preserve">+35% YoY ($1.2M), as Moscow-based multinationals seek cost-efficient auditor solutions</w:t>
      </w:r>
    </w:p>
    <w:p>
      <w:pPr>
        <w:pStyle w:val="FirstParagraph"/>
      </w:pPr>
      <w:r>
        <w:t xml:space="preserve">The Moscow market demonstrated exceptional resilience, with client retention at 89%—surpassing the Russian industry average of 76%. Notable wins included securing audit mandates for three Fortune 500 Russian energy firms and expanding services for major Moscow-based retail conglomerates. This performance validates our strategic focus on positioning certified auditors as trusted advisors rather than transactional service providers within Russia's business ecosystem.</w:t>
      </w:r>
    </w:p>
    <w:bookmarkEnd w:id="21"/>
    <w:bookmarkStart w:id="22" w:name="Xf6cd608dc83ccc5a6f00f3dcee684b4eb412137"/>
    <w:p>
      <w:pPr>
        <w:pStyle w:val="Heading2"/>
      </w:pPr>
      <w:r>
        <w:t xml:space="preserve">III. Market Dynamics Influencing Auditor Demand in Moscow</w:t>
      </w:r>
    </w:p>
    <w:p>
      <w:pPr>
        <w:pStyle w:val="FirstParagraph"/>
      </w:pPr>
      <w:r>
        <w:t xml:space="preserve">The Russian auditor landscape in Moscow has evolved significantly due to regulatory, economic, and geopolitical factors. Key trends shaping demand include:</w:t>
      </w:r>
    </w:p>
    <w:p>
      <w:pPr>
        <w:numPr>
          <w:ilvl w:val="0"/>
          <w:numId w:val="1002"/>
        </w:numPr>
        <w:pStyle w:val="Compact"/>
      </w:pPr>
      <w:r>
        <w:rPr>
          <w:bCs/>
          <w:b/>
        </w:rPr>
        <w:t xml:space="preserve">Regulatory Intensification:</w:t>
      </w:r>
      <w:r>
        <w:t xml:space="preserve"> </w:t>
      </w:r>
      <w:r>
        <w:t xml:space="preserve">New Central Bank of Russia directives (Decree No. 543-P) require enhanced internal controls testing for all financial institutions. This directly increased demand for specialized auditor services in Moscow's banking cluster, contributing to a 28% surge in compliance audit requests.</w:t>
      </w:r>
    </w:p>
    <w:p>
      <w:pPr>
        <w:numPr>
          <w:ilvl w:val="0"/>
          <w:numId w:val="1002"/>
        </w:numPr>
        <w:pStyle w:val="Compact"/>
      </w:pPr>
      <w:r>
        <w:rPr>
          <w:bCs/>
          <w:b/>
        </w:rPr>
        <w:t xml:space="preserve">Economic Volatility:</w:t>
      </w:r>
      <w:r>
        <w:t xml:space="preserve"> </w:t>
      </w:r>
      <w:r>
        <w:t xml:space="preserve">Currency fluctuations and import substitution policies have heightened focus on financial transparency. Our Moscow-based auditors reported that 73% of new clients now prioritize audit services as a risk mitigation strategy during supply chain disruptions.</w:t>
      </w:r>
    </w:p>
    <w:p>
      <w:pPr>
        <w:numPr>
          <w:ilvl w:val="0"/>
          <w:numId w:val="1002"/>
        </w:numPr>
        <w:pStyle w:val="Compact"/>
      </w:pPr>
      <w:r>
        <w:rPr>
          <w:bCs/>
          <w:b/>
        </w:rPr>
        <w:t xml:space="preserve">Digital Transformation:</w:t>
      </w:r>
      <w:r>
        <w:t xml:space="preserve"> </w:t>
      </w:r>
      <w:r>
        <w:t xml:space="preserve">The rise of fintech startups in Moscow's Skolkovo Innovation Center has created demand for technology-centric auditor services. We secured four tech company audits this quarter using our blockchain-verification methodology, demonstrating how modern auditor capabilities attract emerging market players.</w:t>
      </w:r>
    </w:p>
    <w:bookmarkEnd w:id="22"/>
    <w:bookmarkStart w:id="23" w:name="X235afa56c3114576c0430a7ed1bc5cc7f9d0eed"/>
    <w:p>
      <w:pPr>
        <w:pStyle w:val="Heading2"/>
      </w:pPr>
      <w:r>
        <w:t xml:space="preserve">IV. Competitive Positioning: Auditor Advantage in Moscow</w:t>
      </w:r>
    </w:p>
    <w:p>
      <w:pPr>
        <w:pStyle w:val="FirstParagraph"/>
      </w:pPr>
      <w:r>
        <w:t xml:space="preserve">Our sales performance in Moscow outpaces competitors due to three distinct advantages:</w:t>
      </w:r>
    </w:p>
    <w:p>
      <w:pPr>
        <w:numPr>
          <w:ilvl w:val="0"/>
          <w:numId w:val="1003"/>
        </w:numPr>
        <w:pStyle w:val="Compact"/>
      </w:pPr>
      <w:r>
        <w:rPr>
          <w:bCs/>
          <w:b/>
        </w:rPr>
        <w:t xml:space="preserve">Certified Local Expertise:</w:t>
      </w:r>
      <w:r>
        <w:t xml:space="preserve"> </w:t>
      </w:r>
      <w:r>
        <w:t xml:space="preserve">92% of our auditor team holds Russian Certified Public Accountant (CPA) credentials alongside international certifications. This dual expertise was pivotal in closing the Sberbank Commercial Bank audit, where competitors failed to navigate local tax code nuances.</w:t>
      </w:r>
    </w:p>
    <w:p>
      <w:pPr>
        <w:numPr>
          <w:ilvl w:val="0"/>
          <w:numId w:val="1003"/>
        </w:numPr>
        <w:pStyle w:val="Compact"/>
      </w:pPr>
      <w:r>
        <w:rPr>
          <w:bCs/>
          <w:b/>
        </w:rPr>
        <w:t xml:space="preserve">Regulatory Anticipation:</w:t>
      </w:r>
      <w:r>
        <w:t xml:space="preserve"> </w:t>
      </w:r>
      <w:r>
        <w:t xml:space="preserve">Our Moscow auditor team proactively engaged with Federal Tax Service officials ahead of new reporting deadlines, positioning us as indispensable partners. This resulted in a 40% faster onboarding process versus industry benchmarks.</w:t>
      </w:r>
    </w:p>
    <w:p>
      <w:pPr>
        <w:numPr>
          <w:ilvl w:val="0"/>
          <w:numId w:val="1003"/>
        </w:numPr>
        <w:pStyle w:val="Compact"/>
      </w:pPr>
      <w:r>
        <w:rPr>
          <w:bCs/>
          <w:b/>
        </w:rPr>
        <w:t xml:space="preserve">Cultural Intelligence:</w:t>
      </w:r>
      <w:r>
        <w:t xml:space="preserve"> </w:t>
      </w:r>
      <w:r>
        <w:t xml:space="preserve">Understanding Moscow business culture—particularly the emphasis on hierarchical decision-making and relationship-based contracts—allowed our sales auditors to secure 5 of the top 10 enterprise deals this quarter.</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two challenges require immediate attention:</w:t>
      </w:r>
    </w:p>
    <w:p>
      <w:pPr>
        <w:numPr>
          <w:ilvl w:val="0"/>
          <w:numId w:val="1004"/>
        </w:numPr>
        <w:pStyle w:val="Compact"/>
      </w:pPr>
      <w:r>
        <w:rPr>
          <w:bCs/>
          <w:b/>
        </w:rPr>
        <w:t xml:space="preserve">Regulatory Uncertainty:</w:t>
      </w:r>
      <w:r>
        <w:t xml:space="preserve"> </w:t>
      </w:r>
      <w:r>
        <w:t xml:space="preserve">Ongoing sanctions and evolving reporting requirements necessitate continuous auditor training. We are implementing mandatory bi-monthly compliance workshops for all Moscow-based auditors.</w:t>
      </w:r>
    </w:p>
    <w:p>
      <w:pPr>
        <w:numPr>
          <w:ilvl w:val="0"/>
          <w:numId w:val="1004"/>
        </w:numPr>
        <w:pStyle w:val="Compact"/>
      </w:pPr>
      <w:r>
        <w:rPr>
          <w:bCs/>
          <w:b/>
        </w:rPr>
        <w:t xml:space="preserve">Talent Retention:</w:t>
      </w:r>
      <w:r>
        <w:t xml:space="preserve"> </w:t>
      </w:r>
      <w:r>
        <w:t xml:space="preserve">Competition for certified auditors in Moscow has intensified. We're launching a "Moscow Auditor Accelerator" program with 25% salary premium for specialists holding CISA or ISO 27001 certifications.</w:t>
      </w:r>
    </w:p>
    <w:p>
      <w:pPr>
        <w:pStyle w:val="FirstParagraph"/>
      </w:pPr>
      <w:r>
        <w:t xml:space="preserve">Key opportunities identified include:</w:t>
      </w:r>
    </w:p>
    <w:p>
      <w:pPr>
        <w:numPr>
          <w:ilvl w:val="0"/>
          <w:numId w:val="1005"/>
        </w:numPr>
        <w:pStyle w:val="Compact"/>
      </w:pPr>
      <w:r>
        <w:rPr>
          <w:bCs/>
          <w:b/>
        </w:rPr>
        <w:t xml:space="preserve">State-Owned Enterprises (SOEs):</w:t>
      </w:r>
      <w:r>
        <w:t xml:space="preserve"> </w:t>
      </w:r>
      <w:r>
        <w:t xml:space="preserve">Government restructuring initiatives create $6M+ audit opportunities in Moscow-based SOEs by Q1 2024.</w:t>
      </w:r>
    </w:p>
    <w:p>
      <w:pPr>
        <w:numPr>
          <w:ilvl w:val="0"/>
          <w:numId w:val="1005"/>
        </w:numPr>
        <w:pStyle w:val="Compact"/>
      </w:pPr>
      <w:r>
        <w:rPr>
          <w:bCs/>
          <w:b/>
        </w:rPr>
        <w:t xml:space="preserve">E-commerce Sector:</w:t>
      </w:r>
      <w:r>
        <w:t xml:space="preserve"> </w:t>
      </w:r>
      <w:r>
        <w:t xml:space="preserve">With Moscow hosting 60% of Russia's top e-commerce platforms, specialized fraud-detection audits present a $1.3M revenue stream for our auditor team.</w:t>
      </w:r>
    </w:p>
    <w:bookmarkEnd w:id="24"/>
    <w:bookmarkStart w:id="25" w:name="vi.-future-outlook-recommendations"/>
    <w:p>
      <w:pPr>
        <w:pStyle w:val="Heading2"/>
      </w:pPr>
      <w:r>
        <w:t xml:space="preserve">VI. Future Outlook &amp; Recommendations</w:t>
      </w:r>
    </w:p>
    <w:p>
      <w:pPr>
        <w:pStyle w:val="FirstParagraph"/>
      </w:pPr>
      <w:r>
        <w:t xml:space="preserve">We project Q4 2023 sales to reach $5.4M USD in Russia Moscow territory, driven by the following actions:</w:t>
      </w:r>
    </w:p>
    <w:p>
      <w:pPr>
        <w:numPr>
          <w:ilvl w:val="0"/>
          <w:numId w:val="1006"/>
        </w:numPr>
        <w:pStyle w:val="Compact"/>
      </w:pPr>
      <w:r>
        <w:rPr>
          <w:bCs/>
          <w:b/>
        </w:rPr>
        <w:t xml:space="preserve">Expand Auditor Specialization:</w:t>
      </w:r>
      <w:r>
        <w:t xml:space="preserve"> </w:t>
      </w:r>
      <w:r>
        <w:t xml:space="preserve">Develop dedicated "Moscow Compliance Audit" packages tailored to Central Bank regulations, targeting all 18 major Russian banks.</w:t>
      </w:r>
    </w:p>
    <w:p>
      <w:pPr>
        <w:numPr>
          <w:ilvl w:val="0"/>
          <w:numId w:val="1006"/>
        </w:numPr>
        <w:pStyle w:val="Compact"/>
      </w:pPr>
      <w:r>
        <w:rPr>
          <w:bCs/>
          <w:b/>
        </w:rPr>
        <w:t xml:space="preserve">Client Retention Initiative:</w:t>
      </w:r>
      <w:r>
        <w:t xml:space="preserve"> </w:t>
      </w:r>
      <w:r>
        <w:t xml:space="preserve">Implement quarterly business health reviews for existing clients with Moscow-based auditors—projected to increase retention by 12% and upsell revenue by $350K.</w:t>
      </w:r>
    </w:p>
    <w:p>
      <w:pPr>
        <w:numPr>
          <w:ilvl w:val="0"/>
          <w:numId w:val="1006"/>
        </w:numPr>
        <w:pStyle w:val="Compact"/>
      </w:pPr>
      <w:r>
        <w:rPr>
          <w:bCs/>
          <w:b/>
        </w:rPr>
        <w:t xml:space="preserve">Technology Integration:</w:t>
      </w:r>
      <w:r>
        <w:t xml:space="preserve"> </w:t>
      </w:r>
      <w:r>
        <w:t xml:space="preserve">Deploy our AI-powered audit analytics platform (currently piloted at three Moscow enterprises) as a standard offering, reducing fieldwork time by 30% and enhancing auditor value perception.</w:t>
      </w:r>
    </w:p>
    <w:bookmarkEnd w:id="25"/>
    <w:bookmarkStart w:id="26" w:name="vii.-conclusion"/>
    <w:p>
      <w:pPr>
        <w:pStyle w:val="Heading2"/>
      </w:pPr>
      <w:r>
        <w:t xml:space="preserve">VII. Conclusion</w:t>
      </w:r>
    </w:p>
    <w:p>
      <w:pPr>
        <w:pStyle w:val="FirstParagraph"/>
      </w:pPr>
      <w:r>
        <w:t xml:space="preserve">This Sales Report unequivocally confirms that our auditor services have become a cornerstone of business resilience in Russia Moscow. The territory's unique regulatory environment demands sophisticated, locally attuned audit expertise—exactly what our certified Moscow-based auditor team delivers. As we navigate Russia's evolving economic landscape, the strategic positioning of auditor services as risk-mitigation assets rather than cost centers will be paramount. We recommend doubling down on our Moscovite talent development strategy while leveraging local market intelligence to anticipate regulatory shifts. The success achieved this quarter demonstrates that a truly localized auditor approach in Moscow yields superior commercial results, reinforcing our commitment to excellence in Russia's most demanding financial center.</w:t>
      </w:r>
    </w:p>
    <w:p>
      <w:pPr>
        <w:pStyle w:val="BodyText"/>
      </w:pPr>
      <w:r>
        <w:rPr>
          <w:bCs/>
          <w:b/>
        </w:rPr>
        <w:t xml:space="preserve">Appendix A: Key Sales Metrics - Russia Moscow (Q3 2023)</w:t>
      </w:r>
    </w:p>
    <w:p>
      <w:pPr>
        <w:pStyle w:val="BodyText"/>
      </w:pPr>
      <w:r>
        <w:t xml:space="preserve">Service Category</w:t>
      </w:r>
    </w:p>
    <w:p>
      <w:pPr>
        <w:pStyle w:val="BodyText"/>
      </w:pPr>
      <w:r>
        <w:t xml:space="preserve">Sales Value ($M)</w:t>
      </w:r>
    </w:p>
    <w:p>
      <w:pPr>
        <w:pStyle w:val="BodyText"/>
      </w:pPr>
      <w:r>
        <w:t xml:space="preserve">% YoY Change</w:t>
      </w:r>
    </w:p>
    <w:p>
      <w:pPr>
        <w:pStyle w:val="BodyText"/>
      </w:pPr>
      <w:r>
        <w:t xml:space="preserve">Top 3 Moscow Clients</w:t>
      </w:r>
    </w:p>
    <w:p>
      <w:pPr>
        <w:pStyle w:val="BodyText"/>
      </w:pPr>
      <w:r>
        <w:t xml:space="preserve">Financial Statement Audits</w:t>
      </w:r>
    </w:p>
    <w:p>
      <w:pPr>
        <w:pStyle w:val="BodyText"/>
      </w:pPr>
      <w:r>
        <w:t xml:space="preserve">1.90</w:t>
      </w:r>
    </w:p>
    <w:p>
      <w:pPr>
        <w:pStyle w:val="BodyText"/>
      </w:pPr>
      <w:r>
        <w:t xml:space="preserve">+18%</w:t>
      </w:r>
    </w:p>
    <w:p>
      <w:pPr>
        <w:pStyle w:val="BodyText"/>
      </w:pPr>
      <w:r>
        <w:t xml:space="preserve">Sberbank, Gazprombank, VTB Group</w:t>
      </w:r>
    </w:p>
    <w:p>
      <w:pPr>
        <w:pStyle w:val="BodyText"/>
      </w:pPr>
      <w:r>
        <w:t xml:space="preserve">Compliance &amp; Risk Audits</w:t>
      </w:r>
    </w:p>
    <w:p>
      <w:pPr>
        <w:pStyle w:val="BodyText"/>
      </w:pPr>
      <w:r>
        <w:t xml:space="preserve">1.70</w:t>
      </w:r>
    </w:p>
    <w:p>
      <w:pPr>
        <w:pStyle w:val="BodyText"/>
      </w:pPr>
      <w:r>
        <w:rPr>
          <w:bCs/>
          <w:b/>
        </w:rPr>
        <w:t xml:space="preserve">+22%</w:t>
      </w:r>
    </w:p>
    <w:p>
      <w:pPr>
        <w:pStyle w:val="BodyText"/>
      </w:pPr>
      <w:r>
        <w:t xml:space="preserve">Total Revenue (Moscow)</w:t>
      </w:r>
    </w:p>
    <w:p>
      <w:pPr>
        <w:pStyle w:val="BodyText"/>
      </w:pPr>
      <w:r>
        <w:t xml:space="preserve">$4.80M</w:t>
      </w:r>
    </w:p>
    <w:p>
      <w:pPr>
        <w:pStyle w:val="BodyText"/>
      </w:pPr>
      <w:r>
        <w:t xml:space="preserve">+15% YoY</w:t>
      </w:r>
    </w:p>
    <w:p>
      <w:pPr>
        <w:pStyle w:val="BodyText"/>
      </w:pPr>
      <w:r>
        <w:rPr>
          <w:iCs/>
          <w:i/>
        </w:rPr>
        <w:t xml:space="preserve">This Sales Report reflects operational performance in Russia Moscow as of Q3 2023. All figures are in USD, converted at average monthly rates for RUB/USD.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Russia Moscow</dc:title>
  <dc:creator/>
  <cp:keywords/>
  <dcterms:created xsi:type="dcterms:W3CDTF">2026-07-23T20:59:09Z</dcterms:created>
  <dcterms:modified xsi:type="dcterms:W3CDTF">2026-07-23T20:59:09Z</dcterms:modified>
</cp:coreProperties>
</file>

<file path=docProps/custom.xml><?xml version="1.0" encoding="utf-8"?>
<Properties xmlns="http://schemas.openxmlformats.org/officeDocument/2006/custom-properties" xmlns:vt="http://schemas.openxmlformats.org/officeDocument/2006/docPropsVTypes"/>
</file>