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Audit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c888e64b95c1d47cac8df8850121a69f50114a0"/>
    <w:p>
      <w:pPr>
        <w:pStyle w:val="Heading1"/>
      </w:pPr>
      <w:r>
        <w:t xml:space="preserve">Q3 2023 Sales Performance Report: Professional Audit Services in Saint Petersburg,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Business Development Department</w:t>
      </w:r>
    </w:p>
    <w:bookmarkStart w:id="20" w:name="i.-executive-summary"/>
    <w:p>
      <w:pPr>
        <w:pStyle w:val="Heading2"/>
      </w:pPr>
      <w:r>
        <w:t xml:space="preserve">I. Executive Summary</w:t>
      </w:r>
    </w:p>
    <w:p>
      <w:pPr>
        <w:pStyle w:val="FirstParagraph"/>
      </w:pPr>
      <w:r>
        <w:t xml:space="preserve">This report details the Q3 2023 sales performance of our professional audit services across Saint Petersburg, Russia—the financial capital of Northern Russia and a critical hub for both multinational corporations and local enterprises. The quarter demonstrated remarkable growth in audit engagements, with a 28% year-over-year increase in new client acquisitions. Our dedicated</w:t>
      </w:r>
      <w:r>
        <w:t xml:space="preserve"> </w:t>
      </w:r>
      <w:r>
        <w:rPr>
          <w:iCs/>
          <w:i/>
        </w:rPr>
        <w:t xml:space="preserve">Auditor</w:t>
      </w:r>
      <w:r>
        <w:t xml:space="preserve"> </w:t>
      </w:r>
      <w:r>
        <w:t xml:space="preserve">teams successfully closed 47 new contracts across key sectors including manufacturing, logistics, and fintech—solidifying our position as the preferred audit partner for businesses navigating Russia's complex regulatory landscape. Despite geopolitical challenges, Saint Petersburg's commercial resilience enabled us to exceed sales targets by 15%, reflecting strong market confidence in our compliance-driven approach.</w:t>
      </w:r>
    </w:p>
    <w:bookmarkEnd w:id="20"/>
    <w:bookmarkStart w:id="21" w:name="ii.-sales-performance-metrics-q3-2023"/>
    <w:p>
      <w:pPr>
        <w:pStyle w:val="Heading2"/>
      </w:pPr>
      <w:r>
        <w:t xml:space="preserve">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Total Contract Value (RUB)</w:t>
            </w:r>
          </w:p>
        </w:tc>
        <w:tc>
          <w:tcPr/>
          <w:p>
            <w:pPr>
              <w:pStyle w:val="Compact"/>
              <w:jc w:val="left"/>
            </w:pPr>
            <w:r>
              <w:t xml:space="preserve">148,500,000</w:t>
            </w:r>
          </w:p>
        </w:tc>
        <w:tc>
          <w:tcPr/>
          <w:p>
            <w:pPr>
              <w:pStyle w:val="Compact"/>
              <w:jc w:val="left"/>
            </w:pPr>
            <w:r>
              <w:t xml:space="preserve">121,350,000</w:t>
            </w:r>
          </w:p>
        </w:tc>
        <w:tc>
          <w:tcPr/>
          <w:p>
            <w:pPr>
              <w:pStyle w:val="Compact"/>
              <w:jc w:val="left"/>
            </w:pPr>
            <w:r>
              <w:t xml:space="preserve">+22.4%</w:t>
            </w:r>
          </w:p>
        </w:tc>
      </w:tr>
      <w:tr>
        <w:tc>
          <w:tcPr/>
          <w:p>
            <w:pPr>
              <w:pStyle w:val="Compact"/>
              <w:jc w:val="left"/>
            </w:pPr>
            <w:r>
              <w:t xml:space="preserve">Cross-Sell Rate (Existing Clients)</w:t>
            </w:r>
          </w:p>
        </w:tc>
        <w:tc>
          <w:tcPr/>
          <w:p>
            <w:pPr>
              <w:pStyle w:val="Compact"/>
              <w:jc w:val="left"/>
            </w:pPr>
            <w:r>
              <w:t xml:space="preserve">68%</w:t>
            </w:r>
          </w:p>
        </w:tc>
        <w:tc>
          <w:tcPr/>
          <w:p>
            <w:pPr>
              <w:pStyle w:val="Compact"/>
              <w:jc w:val="left"/>
            </w:pPr>
            <w:r>
              <w:t xml:space="preserve">62%</w:t>
            </w:r>
          </w:p>
        </w:tc>
        <w:tc>
          <w:tcPr/>
          <w:p>
            <w:pPr>
              <w:pStyle w:val="Compact"/>
              <w:jc w:val="left"/>
            </w:pPr>
            <w:r>
              <w:t xml:space="preserve">+6.5 pts</w:t>
            </w:r>
          </w:p>
        </w:tc>
      </w:tr>
      <w:tr>
        <w:tc>
          <w:tcPr/>
          <w:p>
            <w:pPr>
              <w:pStyle w:val="Compact"/>
              <w:jc w:val="left"/>
            </w:pPr>
            <w:r>
              <w:t xml:space="preserve">Audit Service Uptake in Key Sectors</w:t>
            </w:r>
          </w:p>
        </w:tc>
        <w:tc>
          <w:tcPr>
            <w:gridSpan w:val="3"/>
          </w:tcPr>
          <w:p>
            <w:pPr>
              <w:pStyle w:val="Compact"/>
              <w:jc w:val="left"/>
            </w:pPr>
            <w:r>
              <w:t xml:space="preserve">Manufacturing: 32% | Logistics: 24% | Fintech: 18% | Retail: 12%</w:t>
            </w:r>
          </w:p>
        </w:tc>
      </w:tr>
    </w:tbl>
    <w:p>
      <w:pPr>
        <w:pStyle w:val="BodyText"/>
      </w:pPr>
      <w:r>
        <w:t xml:space="preserve">Notably, our</w:t>
      </w:r>
      <w:r>
        <w:t xml:space="preserve"> </w:t>
      </w:r>
      <w:r>
        <w:rPr>
          <w:iCs/>
          <w:i/>
        </w:rPr>
        <w:t xml:space="preserve">Auditor</w:t>
      </w:r>
      <w:r>
        <w:t xml:space="preserve"> </w:t>
      </w:r>
      <w:r>
        <w:t xml:space="preserve">teams in Saint Petersburg achieved a 94.3% client retention rate—the highest in the Russian market—demonstrating exceptional service quality. The region contributed 38% of total Russia sales volume, with particularly strong performance among mid-market enterprises (50–200 employees) seeking certified compliance solutions under new Russian Federal Law No. 74-FZ.</w:t>
      </w:r>
    </w:p>
    <w:bookmarkEnd w:id="21"/>
    <w:bookmarkStart w:id="22" w:name="X7940648c5d3b2559707b117ce9c6aa1980b33e4"/>
    <w:p>
      <w:pPr>
        <w:pStyle w:val="Heading2"/>
      </w:pPr>
      <w:r>
        <w:t xml:space="preserve">III. Market Analysis: Saint Petersburg's Unique Dynamics</w:t>
      </w:r>
    </w:p>
    <w:p>
      <w:pPr>
        <w:pStyle w:val="FirstParagraph"/>
      </w:pPr>
      <w:r>
        <w:t xml:space="preserve">As Russia's second-largest city and a major port on the Baltic Sea, Saint Petersburg presents distinct opportunities for audit service providers:</w:t>
      </w:r>
    </w:p>
    <w:p>
      <w:pPr>
        <w:numPr>
          <w:ilvl w:val="0"/>
          <w:numId w:val="1001"/>
        </w:numPr>
        <w:pStyle w:val="Compact"/>
      </w:pPr>
      <w:r>
        <w:rPr>
          <w:bCs/>
          <w:b/>
        </w:rPr>
        <w:t xml:space="preserve">Regulatory Complexity:</w:t>
      </w:r>
      <w:r>
        <w:t xml:space="preserve"> </w:t>
      </w:r>
      <w:r>
        <w:t xml:space="preserve">The city hosts 63% of Russia's Fortune 500 subsidiaries, all requiring dual compliance with international (IFRS) and Russian accounting standards (RAS). Our local</w:t>
      </w:r>
      <w:r>
        <w:t xml:space="preserve"> </w:t>
      </w:r>
      <w:r>
        <w:rPr>
          <w:iCs/>
          <w:i/>
        </w:rPr>
        <w:t xml:space="preserve">Auditor</w:t>
      </w:r>
      <w:r>
        <w:t xml:space="preserve"> </w:t>
      </w:r>
      <w:r>
        <w:t xml:space="preserve">teams, fluent in both frameworks and possessing deep knowledge of St. Petersburg’s municipal tax regulations, became critical differentiators.</w:t>
      </w:r>
    </w:p>
    <w:p>
      <w:pPr>
        <w:numPr>
          <w:ilvl w:val="0"/>
          <w:numId w:val="1001"/>
        </w:numPr>
        <w:pStyle w:val="Compact"/>
      </w:pPr>
      <w:r>
        <w:rPr>
          <w:bCs/>
          <w:b/>
        </w:rPr>
        <w:t xml:space="preserve">Industry Concentration:</w:t>
      </w:r>
      <w:r>
        <w:t xml:space="preserve"> </w:t>
      </w:r>
      <w:r>
        <w:t xml:space="preserve">Over 40% of new audit contracts originated from Saint Petersburg's industrial park zone (including the Vostochny Port complex), where logistics companies face heightened scrutiny under customs compliance reforms.</w:t>
      </w:r>
    </w:p>
    <w:p>
      <w:pPr>
        <w:numPr>
          <w:ilvl w:val="0"/>
          <w:numId w:val="1001"/>
        </w:numPr>
        <w:pStyle w:val="Compact"/>
      </w:pPr>
      <w:r>
        <w:rPr>
          <w:bCs/>
          <w:b/>
        </w:rPr>
        <w:t xml:space="preserve">Competitive Landscape:</w:t>
      </w:r>
      <w:r>
        <w:t xml:space="preserve"> </w:t>
      </w:r>
      <w:r>
        <w:t xml:space="preserve">While local firms dominate SME audits, our multinational expertise—especially in cross-border transaction audits—secured premium contracts with 87% of new clients. Competitors like PwC and Deloitte struggled with regulatory interpretation gaps in Russia-specific cases.</w:t>
      </w:r>
    </w:p>
    <w:bookmarkEnd w:id="22"/>
    <w:bookmarkStart w:id="26" w:name="X3dfa6f6003c3adf52f5f498b6a38597d30c8b81"/>
    <w:p>
      <w:pPr>
        <w:pStyle w:val="Heading2"/>
      </w:pPr>
      <w:r>
        <w:t xml:space="preserve">IV. Challenges &amp; Strategic Solutions Implemented</w:t>
      </w:r>
    </w:p>
    <w:p>
      <w:pPr>
        <w:pStyle w:val="FirstParagraph"/>
      </w:pPr>
      <w:r>
        <w:t xml:space="preserve">Q3 presented unique hurdles specific to the Saint Petersburg market:</w:t>
      </w:r>
    </w:p>
    <w:bookmarkStart w:id="23" w:name="Xe5db42a9533cbb50ccccc7af929de14a77a729f"/>
    <w:p>
      <w:pPr>
        <w:pStyle w:val="Heading3"/>
      </w:pPr>
      <w:r>
        <w:t xml:space="preserve">Challenge 1: Geopolitical Uncertainty Impacting Decision-Making</w:t>
      </w:r>
    </w:p>
    <w:p>
      <w:pPr>
        <w:pStyle w:val="FirstParagraph"/>
      </w:pPr>
      <w:r>
        <w:rPr>
          <w:iCs/>
          <w:i/>
        </w:rPr>
        <w:t xml:space="preserve">Solution:</w:t>
      </w:r>
      <w:r>
        <w:t xml:space="preserve"> </w:t>
      </w:r>
      <w:r>
        <w:t xml:space="preserve">Our Saint Petersburg team launched "Compliance Stability Packages"—fixed-price audit bundles with 6-month extension options. This reduced client anxiety about future regulatory changes. Result: 22 new contracts closed from clients who had delayed decisions for &gt;90 days.</w:t>
      </w:r>
    </w:p>
    <w:bookmarkEnd w:id="23"/>
    <w:bookmarkStart w:id="24" w:name="X75a4180bff86ebd344963decf6714f2e088e85f"/>
    <w:p>
      <w:pPr>
        <w:pStyle w:val="Heading3"/>
      </w:pPr>
      <w:r>
        <w:t xml:space="preserve">Challenge 2: Shortage of RAS-Compliant Talent</w:t>
      </w:r>
    </w:p>
    <w:p>
      <w:pPr>
        <w:pStyle w:val="FirstParagraph"/>
      </w:pPr>
      <w:r>
        <w:rPr>
          <w:iCs/>
          <w:i/>
        </w:rPr>
        <w:t xml:space="preserve">Solution:</w:t>
      </w:r>
      <w:r>
        <w:t xml:space="preserve"> </w:t>
      </w:r>
      <w:r>
        <w:t xml:space="preserve">Partnered with Saint Petersburg State University to create a dedicated "Audit Specialist" certification track. 15 junior auditors completed the program, enabling us to scale client coverage without compromising quality. This initiative directly addressed Russia's national audit talent gap.</w:t>
      </w:r>
    </w:p>
    <w:bookmarkEnd w:id="24"/>
    <w:bookmarkStart w:id="25" w:name="Xc1db0ded4f1479f32e9e91e7f67b932e4eb2bad"/>
    <w:p>
      <w:pPr>
        <w:pStyle w:val="Heading3"/>
      </w:pPr>
      <w:r>
        <w:t xml:space="preserve">Challenge 3: Localized Client Expectations</w:t>
      </w:r>
    </w:p>
    <w:p>
      <w:pPr>
        <w:pStyle w:val="FirstParagraph"/>
      </w:pPr>
      <w:r>
        <w:rPr>
          <w:iCs/>
          <w:i/>
        </w:rPr>
        <w:t xml:space="preserve">Solution:</w:t>
      </w:r>
      <w:r>
        <w:t xml:space="preserve"> </w:t>
      </w:r>
      <w:r>
        <w:t xml:space="preserve">Implemented a St. Petersburg-specific service model featuring: (1) Russian-language reporting templates compliant with Federal Tax Service requirements, (2) on-site team members with Petrograd District business networks, and (3) quarterly "Regulatory Briefing" sessions for clients. This approach reduced onboarding time by 40%.</w:t>
      </w:r>
    </w:p>
    <w:bookmarkEnd w:id="25"/>
    <w:bookmarkEnd w:id="26"/>
    <w:bookmarkStart w:id="27" w:name="v.-client-testimonial-highlights"/>
    <w:p>
      <w:pPr>
        <w:pStyle w:val="Heading2"/>
      </w:pPr>
      <w:r>
        <w:t xml:space="preserve">V. Client Testimonial Highlights</w:t>
      </w:r>
    </w:p>
    <w:p>
      <w:pPr>
        <w:pStyle w:val="BlockText"/>
      </w:pPr>
      <w:r>
        <w:t xml:space="preserve">"In Saint Petersburg's competitive market, our audit partner needed to understand both global standards and the nuances of local tax offices in Vasilyevsky Island. Their Auditor team didn't just complete filings—they provided strategic guidance that saved us 17% in unexpected penalties."</w:t>
      </w:r>
      <w:r>
        <w:br/>
      </w:r>
      <w:r>
        <w:rPr>
          <w:iCs/>
          <w:i/>
        </w:rPr>
        <w:t xml:space="preserve">- Chief Financial Officer, Leading Petrograd Manufacturing Consortium</w:t>
      </w:r>
    </w:p>
    <w:p>
      <w:pPr>
        <w:pStyle w:val="FirstParagraph"/>
      </w:pPr>
      <w:r>
        <w:t xml:space="preserve">Another client noted: "The Saint Petersburg office's understanding of our Krasnodar-based supply chain compliance needs was unparalleled. They've become an extension of our internal team."</w:t>
      </w:r>
    </w:p>
    <w:bookmarkEnd w:id="27"/>
    <w:bookmarkStart w:id="28" w:name="X7433c9ef969b22791c1276ba9084f632af94b08"/>
    <w:p>
      <w:pPr>
        <w:pStyle w:val="Heading2"/>
      </w:pPr>
      <w:r>
        <w:t xml:space="preserve">VI. Future Outlook &amp; Strategic Focus (Q4 2023)</w:t>
      </w:r>
    </w:p>
    <w:p>
      <w:pPr>
        <w:pStyle w:val="FirstParagraph"/>
      </w:pPr>
      <w:r>
        <w:t xml:space="preserve">Building on Q3 success, we will prioritize three initiatives to strengthen the Saint Petersburg audit market position:</w:t>
      </w:r>
    </w:p>
    <w:p>
      <w:pPr>
        <w:numPr>
          <w:ilvl w:val="0"/>
          <w:numId w:val="1002"/>
        </w:numPr>
        <w:pStyle w:val="Compact"/>
      </w:pPr>
      <w:r>
        <w:rPr>
          <w:bCs/>
          <w:b/>
        </w:rPr>
        <w:t xml:space="preserve">Expansion into Industrial Zones:</w:t>
      </w:r>
      <w:r>
        <w:t xml:space="preserve"> </w:t>
      </w:r>
      <w:r>
        <w:t xml:space="preserve">Targeting 15 new clients in the Saint Petersburg Free Economic Zone (FES) by December 2023. We'll deploy dedicated teams familiar with FES tax incentives and customs protocols.</w:t>
      </w:r>
    </w:p>
    <w:p>
      <w:pPr>
        <w:numPr>
          <w:ilvl w:val="0"/>
          <w:numId w:val="1002"/>
        </w:numPr>
        <w:pStyle w:val="Compact"/>
      </w:pPr>
      <w:r>
        <w:rPr>
          <w:bCs/>
          <w:b/>
        </w:rPr>
        <w:t xml:space="preserve">Digital Transformation:</w:t>
      </w:r>
      <w:r>
        <w:t xml:space="preserve"> </w:t>
      </w:r>
      <w:r>
        <w:t xml:space="preserve">Launching "AuditCloud" for Saint Petersburg clients—a localized portal enabling real-time audit progress tracking per Russian Tax Code Article 189, addressing a critical gap identified in client feedback.</w:t>
      </w:r>
    </w:p>
    <w:p>
      <w:pPr>
        <w:numPr>
          <w:ilvl w:val="0"/>
          <w:numId w:val="1002"/>
        </w:numPr>
        <w:pStyle w:val="Compact"/>
      </w:pPr>
      <w:r>
        <w:rPr>
          <w:bCs/>
          <w:b/>
        </w:rPr>
        <w:t xml:space="preserve">Talent Development:</w:t>
      </w:r>
      <w:r>
        <w:t xml:space="preserve"> </w:t>
      </w:r>
      <w:r>
        <w:t xml:space="preserve">Increasing the local auditor headcount by 30% through partnerships with ITMO University, focusing on AI tools for fraud detection—a growing requirement under Russia's new AML regulations.</w:t>
      </w:r>
    </w:p>
    <w:bookmarkEnd w:id="28"/>
    <w:bookmarkStart w:id="29" w:name="vii.-conclusion"/>
    <w:p>
      <w:pPr>
        <w:pStyle w:val="Heading2"/>
      </w:pPr>
      <w:r>
        <w:t xml:space="preserve">VII. Conclusion</w:t>
      </w:r>
    </w:p>
    <w:p>
      <w:pPr>
        <w:pStyle w:val="FirstParagraph"/>
      </w:pPr>
      <w:r>
        <w:t xml:space="preserve">The Saint Petersburg market has unequivocally proven itself as a high-value growth engine for audit services in Russia. Our Q3 results—driven by localized expertise, regulatory mastery, and strategic agility—cement our leadership position among</w:t>
      </w:r>
      <w:r>
        <w:t xml:space="preserve"> </w:t>
      </w:r>
      <w:r>
        <w:rPr>
          <w:iCs/>
          <w:i/>
        </w:rPr>
        <w:t xml:space="preserve">Auditor</w:t>
      </w:r>
      <w:r>
        <w:t xml:space="preserve"> </w:t>
      </w:r>
      <w:r>
        <w:t xml:space="preserve">providers in the region. As the city continues to attract foreign investment despite global headwinds (notably through its new Eurasian Investment Forum), demand for specialized audit services will only intensify. Our Saint Petersburg team has not just met expectations; they've redefined standards for compliance excellence in Russia's most dynamic business hub. We project a 35% YoY growth in audit service sales by Q1 2024, driven by the momentum established this quarter.</w:t>
      </w:r>
    </w:p>
    <w:p>
      <w:pPr>
        <w:pStyle w:val="BodyText"/>
      </w:pPr>
      <w:r>
        <w:rPr>
          <w:bCs/>
          <w:b/>
        </w:rPr>
        <w:t xml:space="preserve">Recommendation:</w:t>
      </w:r>
      <w:r>
        <w:t xml:space="preserve"> </w:t>
      </w:r>
      <w:r>
        <w:t xml:space="preserve">Approve additional $850K investment for Q4 talent acquisition and digital tooling specific to Saint Petersburg's operational needs. This will ensure we capture 50%+ of new audit opportunities in the city's priority sectors through year-end.</w:t>
      </w:r>
    </w:p>
    <w:p>
      <w:pPr>
        <w:pStyle w:val="BodyText"/>
      </w:pPr>
      <w:r>
        <w:rPr>
          <w:iCs/>
          <w:i/>
        </w:rPr>
        <w:t xml:space="preserve">This report adheres to Russian Accounting Standards (RAS) and Federal Law 74-FZ requirements for service documentation. All revenue figures are pre-tax, reported in RUB.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Audit Services in Saint Petersburg, Russia</dc:title>
  <dc:creator/>
  <dc:language>en</dc:language>
  <cp:keywords/>
  <dcterms:created xsi:type="dcterms:W3CDTF">2026-07-24T11:08:06Z</dcterms:created>
  <dcterms:modified xsi:type="dcterms:W3CDTF">2026-07-24T11:08:06Z</dcterms:modified>
</cp:coreProperties>
</file>

<file path=docProps/custom.xml><?xml version="1.0" encoding="utf-8"?>
<Properties xmlns="http://schemas.openxmlformats.org/officeDocument/2006/custom-properties" xmlns:vt="http://schemas.openxmlformats.org/officeDocument/2006/docPropsVTypes"/>
</file>