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6" w:name="Xcec846cbb60b66a10877474ab81ed8885ea2ada"/>
    <w:p>
      <w:pPr>
        <w:pStyle w:val="Heading1"/>
      </w:pPr>
      <w:r>
        <w:t xml:space="preserve">Comprehensive Sales Report: Auditor Excellence in Singapore Singapore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Audit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exceptional performance of our Auditor services across the Singapore Singapore market during Q3 2023. Despite complex regulatory shifts in Southeast Asia, our dedicated Auditor team achieved a remarkable 18% year-over-year revenue growth, securing 47 new enterprise clients while maintaining a 96% client retention rate. The success underscores Singapore's position as the pivotal hub for audit services in APAC, where our strategic alignment with local compliance frameworks has driven unprecedented market penetration. This document serves as both an achievement record and roadmap for sustaining leadership in the Singapore Singapore landscape.</w:t>
      </w:r>
    </w:p>
    <w:bookmarkEnd w:id="20"/>
    <w:bookmarkStart w:id="21" w:name="ii.-sales-performance-analysis"/>
    <w:p>
      <w:pPr>
        <w:pStyle w:val="Heading2"/>
      </w:pPr>
      <w:r>
        <w:t xml:space="preserve">II. Sales Performance Analysis</w:t>
      </w:r>
    </w:p>
    <w:p>
      <w:pPr>
        <w:pStyle w:val="FirstParagraph"/>
      </w:pPr>
      <w:r>
        <w:t xml:space="preserve">Our Q3 Sales Report reveals a transformative quarter for the Auditor division in Singapore Singapore. Key metrics demonstrate our competitive edge:</w:t>
      </w:r>
    </w:p>
    <w:p>
      <w:pPr>
        <w:numPr>
          <w:ilvl w:val="0"/>
          <w:numId w:val="1001"/>
        </w:numPr>
        <w:pStyle w:val="Compact"/>
      </w:pPr>
      <w:r>
        <w:rPr>
          <w:bCs/>
          <w:b/>
        </w:rPr>
        <w:t xml:space="preserve">Revenue Growth:</w:t>
      </w:r>
      <w:r>
        <w:t xml:space="preserve"> </w:t>
      </w:r>
      <w:r>
        <w:t xml:space="preserve">$14.2M (vs. $12M in Q3 2022), driven by 38% expansion in premium audit packages for financial institutions</w:t>
      </w:r>
    </w:p>
    <w:p>
      <w:pPr>
        <w:numPr>
          <w:ilvl w:val="0"/>
          <w:numId w:val="1001"/>
        </w:numPr>
        <w:pStyle w:val="Compact"/>
      </w:pPr>
      <w:r>
        <w:rPr>
          <w:bCs/>
          <w:b/>
        </w:rPr>
        <w:t xml:space="preserve">Client Acquisition:</w:t>
      </w:r>
      <w:r>
        <w:t xml:space="preserve"> </w:t>
      </w:r>
      <w:r>
        <w:t xml:space="preserve">47 new clients (including 3 Fortune 500 companies), with an average contract value of $285K - above the $210K industry benchmark</w:t>
      </w:r>
    </w:p>
    <w:p>
      <w:pPr>
        <w:numPr>
          <w:ilvl w:val="0"/>
          <w:numId w:val="1001"/>
        </w:numPr>
        <w:pStyle w:val="Compact"/>
      </w:pPr>
      <w:r>
        <w:rPr>
          <w:bCs/>
          <w:b/>
        </w:rPr>
        <w:t xml:space="preserve">Sales Cycle Efficiency:</w:t>
      </w:r>
      <w:r>
        <w:t xml:space="preserve"> </w:t>
      </w:r>
      <w:r>
        <w:t xml:space="preserve">Reduced from 98 days to 63 days through AI-driven client onboarding, directly benefiting our Singapore Singapore operations</w:t>
      </w:r>
    </w:p>
    <w:p>
      <w:pPr>
        <w:pStyle w:val="FirstParagraph"/>
      </w:pPr>
      <w:r>
        <w:t xml:space="preserve">The Auditor team's success stems from hyper-localized service design. In Singapore Singapore, we implemented mandatory "SGX Compliance Workshops" for all new clients, addressing MAS Notice 626 requirements before contract signing. This proactive approach eliminated 89% of post-implementation compliance disputes – a critical differentiator in Singapore's high-stakes financial environment.</w:t>
      </w:r>
    </w:p>
    <w:bookmarkEnd w:id="21"/>
    <w:bookmarkStart w:id="22" w:name="X310d612cd081155c9b05fbf7b65572e1663ddcf"/>
    <w:p>
      <w:pPr>
        <w:pStyle w:val="Heading2"/>
      </w:pPr>
      <w:r>
        <w:t xml:space="preserve">III. Market Dynamics in Singapore Singapore</w:t>
      </w:r>
    </w:p>
    <w:p>
      <w:pPr>
        <w:pStyle w:val="FirstParagraph"/>
      </w:pPr>
      <w:r>
        <w:t xml:space="preserve">Singapore Singapore's regulatory ecosystem demands exceptional audit precision. The Q3 Sales Report identifies three pivotal market shifts:</w:t>
      </w:r>
    </w:p>
    <w:p>
      <w:pPr>
        <w:numPr>
          <w:ilvl w:val="0"/>
          <w:numId w:val="1002"/>
        </w:numPr>
        <w:pStyle w:val="Compact"/>
      </w:pPr>
      <w:r>
        <w:rPr>
          <w:bCs/>
          <w:b/>
        </w:rPr>
        <w:t xml:space="preserve">ESG Integration Mandate:</w:t>
      </w:r>
      <w:r>
        <w:t xml:space="preserve"> </w:t>
      </w:r>
      <w:r>
        <w:t xml:space="preserve">MAS now requires all listed companies to embed ESG metrics in annual audits. Our Auditor team developed the "Singapore Green Audit Suite," capturing 72% of new ESG-focused clients this quarter.</w:t>
      </w:r>
    </w:p>
    <w:p>
      <w:pPr>
        <w:numPr>
          <w:ilvl w:val="0"/>
          <w:numId w:val="1002"/>
        </w:numPr>
        <w:pStyle w:val="Compact"/>
      </w:pPr>
      <w:r>
        <w:rPr>
          <w:bCs/>
          <w:b/>
        </w:rPr>
        <w:t xml:space="preserve">Digital Transformation Acceleration:</w:t>
      </w:r>
      <w:r>
        <w:t xml:space="preserve"> </w:t>
      </w:r>
      <w:r>
        <w:t xml:space="preserve">83% of Singapore Singapore firms prioritized digital audit tools in Q3. We deployed our AI-powered "AuditX" platform, reducing report generation time by 65% – a key sales driver for tech-sector clients.</w:t>
      </w:r>
    </w:p>
    <w:p>
      <w:pPr>
        <w:numPr>
          <w:ilvl w:val="0"/>
          <w:numId w:val="1002"/>
        </w:numPr>
        <w:pStyle w:val="Compact"/>
      </w:pPr>
      <w:r>
        <w:rPr>
          <w:bCs/>
          <w:b/>
        </w:rPr>
        <w:t xml:space="preserve">Competitive Landscape:</w:t>
      </w:r>
      <w:r>
        <w:t xml:space="preserve"> </w:t>
      </w:r>
      <w:r>
        <w:t xml:space="preserve">Local competitors failed to adapt to the new MAS Circular 626, creating a $42M opportunity we captured through our Singapore Singapore-centric solutions.</w:t>
      </w:r>
    </w:p>
    <w:p>
      <w:pPr>
        <w:pStyle w:val="FirstParagraph"/>
      </w:pPr>
      <w:r>
        <w:t xml:space="preserve">The Sales Report confirms that clients in Singapore Singapore actively seek auditors who understand local nuances – not just global standards. Our Auditor teams now include 15 certified MAS compliance specialists embedded within the regional sales force, directly contributing to our 42% upsell rate on existing contracts.</w:t>
      </w:r>
    </w:p>
    <w:bookmarkEnd w:id="22"/>
    <w:bookmarkStart w:id="23" w:name="iv.-strategic-initiatives-driving-sales"/>
    <w:p>
      <w:pPr>
        <w:pStyle w:val="Heading2"/>
      </w:pPr>
      <w:r>
        <w:t xml:space="preserve">IV. Strategic Initiatives Driving Sales</w:t>
      </w:r>
    </w:p>
    <w:p>
      <w:pPr>
        <w:pStyle w:val="FirstParagraph"/>
      </w:pPr>
      <w:r>
        <w:t xml:space="preserve">This Q3 Sales Report highlights three game-changing initiatives executed specifically for Singapore Singapore: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Implementation Date</w:t>
            </w:r>
          </w:p>
        </w:tc>
        <w:tc>
          <w:tcPr/>
          <w:p>
            <w:pPr>
              <w:pStyle w:val="Compact"/>
              <w:jc w:val="left"/>
            </w:pPr>
            <w:r>
              <w:t xml:space="preserve">Sales Impact</w:t>
            </w:r>
          </w:p>
        </w:tc>
      </w:tr>
      <w:tr>
        <w:tc>
          <w:tcPr/>
          <w:p>
            <w:pPr>
              <w:pStyle w:val="Compact"/>
              <w:jc w:val="left"/>
            </w:pPr>
            <w:r>
              <w:rPr>
                <w:iCs/>
                <w:i/>
              </w:rPr>
              <w:t xml:space="preserve">Singapore Singapore Regulatory Pulse Program</w:t>
            </w:r>
          </w:p>
        </w:tc>
        <w:tc>
          <w:tcPr/>
          <w:p>
            <w:pPr>
              <w:pStyle w:val="Compact"/>
              <w:jc w:val="left"/>
            </w:pPr>
            <w:r>
              <w:t xml:space="preserve">July 15, 2023</w:t>
            </w:r>
          </w:p>
        </w:tc>
        <w:tc>
          <w:tcPr/>
          <w:p>
            <w:pPr>
              <w:pStyle w:val="Compact"/>
              <w:jc w:val="left"/>
            </w:pPr>
            <w:r>
              <w:t xml:space="preserve">+19% new client acquisition from government-linked entities (GLCs)</w:t>
            </w:r>
          </w:p>
        </w:tc>
      </w:tr>
      <w:tr>
        <w:tc>
          <w:tcPr/>
          <w:p>
            <w:pPr>
              <w:pStyle w:val="Compact"/>
              <w:jc w:val="left"/>
            </w:pPr>
            <w:r>
              <w:rPr>
                <w:iCs/>
                <w:i/>
              </w:rPr>
              <w:t xml:space="preserve">Quarterly Auditor Excellence Awards</w:t>
            </w:r>
          </w:p>
        </w:tc>
        <w:tc>
          <w:tcPr/>
          <w:p>
            <w:pPr>
              <w:pStyle w:val="Compact"/>
              <w:jc w:val="left"/>
            </w:pPr>
            <w:r>
              <w:t xml:space="preserve">August 1, 2023</w:t>
            </w:r>
          </w:p>
        </w:tc>
        <w:tc>
          <w:tcPr/>
          <w:p>
            <w:pPr>
              <w:pStyle w:val="Compact"/>
              <w:jc w:val="left"/>
            </w:pPr>
            <w:r>
              <w:t xml:space="preserve">Improved team retention; reduced sales attrition by 34%</w:t>
            </w:r>
          </w:p>
        </w:tc>
      </w:tr>
      <w:tr>
        <w:tc>
          <w:tcPr/>
          <w:p>
            <w:pPr>
              <w:pStyle w:val="Compact"/>
              <w:jc w:val="left"/>
            </w:pPr>
            <w:r>
              <w:rPr>
                <w:iCs/>
                <w:i/>
              </w:rPr>
              <w:t xml:space="preserve">Singapore Singapore ESG Compliance Certification</w:t>
            </w:r>
          </w:p>
        </w:tc>
        <w:tc>
          <w:tcPr/>
          <w:p>
            <w:pPr>
              <w:pStyle w:val="Compact"/>
              <w:jc w:val="left"/>
            </w:pPr>
            <w:r>
              <w:t xml:space="preserve">September 10, 2023</w:t>
            </w:r>
          </w:p>
        </w:tc>
        <w:tc>
          <w:tcPr/>
          <w:p>
            <w:pPr>
              <w:pStyle w:val="Compact"/>
              <w:jc w:val="left"/>
            </w:pPr>
            <w:r>
              <w:t xml:space="preserve">Generated $6.8M in pipeline from sustainability-focused firms</w:t>
            </w:r>
          </w:p>
        </w:tc>
      </w:tr>
    </w:tbl>
    <w:p>
      <w:pPr>
        <w:pStyle w:val="BodyText"/>
      </w:pPr>
      <w:r>
        <w:t xml:space="preserve">The "Singapore Singapore Regulatory Pulse Program" proved transformative – our Auditor team now conducts bi-weekly MAS regulation briefings with key clients, positioning us as strategic partners rather than service vendors. This initiative directly addresses Singapore's evolving regulatory demands and has become the cornerstone of our sales narrative in this market.</w:t>
      </w:r>
    </w:p>
    <w:bookmarkEnd w:id="23"/>
    <w:bookmarkStart w:id="24" w:name="v.-challenges-and-competitive-response"/>
    <w:p>
      <w:pPr>
        <w:pStyle w:val="Heading2"/>
      </w:pPr>
      <w:r>
        <w:t xml:space="preserve">V. Challenges and Competitive Response</w:t>
      </w:r>
    </w:p>
    <w:p>
      <w:pPr>
        <w:pStyle w:val="FirstParagraph"/>
      </w:pPr>
      <w:r>
        <w:t xml:space="preserve">While Q3 was strong, the Sales Report identifies two challenges unique to Singapore Singapore:</w:t>
      </w:r>
    </w:p>
    <w:p>
      <w:pPr>
        <w:numPr>
          <w:ilvl w:val="0"/>
          <w:numId w:val="1003"/>
        </w:numPr>
        <w:pStyle w:val="Compact"/>
      </w:pPr>
      <w:r>
        <w:rPr>
          <w:bCs/>
          <w:b/>
        </w:rPr>
        <w:t xml:space="preserve">Regulatory Overload:</w:t>
      </w:r>
      <w:r>
        <w:t xml:space="preserve"> </w:t>
      </w:r>
      <w:r>
        <w:t xml:space="preserve">68% of potential clients cited "overwhelming MAS requirements" as a barrier. Our response: developed the free "Singapore Singapore Compliance Navigator" – a digital tool explaining 23 key regulations in plain language, used by 1,200+ prospects.</w:t>
      </w:r>
    </w:p>
    <w:p>
      <w:pPr>
        <w:numPr>
          <w:ilvl w:val="0"/>
          <w:numId w:val="1003"/>
        </w:numPr>
        <w:pStyle w:val="Compact"/>
      </w:pPr>
      <w:r>
        <w:rPr>
          <w:bCs/>
          <w:b/>
        </w:rPr>
        <w:t xml:space="preserve">Talent Acquisition:</w:t>
      </w:r>
      <w:r>
        <w:t xml:space="preserve"> </w:t>
      </w:r>
      <w:r>
        <w:t xml:space="preserve">Shortage of auditors with dual expertise in MAS and ESG standards. Our solution: partnered with NUS to create the "Singapore Singapore Audit Fellowship," training 45 new professionals quarterly – directly boosting our local Auditor capacity.</w:t>
      </w:r>
    </w:p>
    <w:p>
      <w:pPr>
        <w:pStyle w:val="FirstParagraph"/>
      </w:pPr>
      <w:r>
        <w:t xml:space="preserve">Critically, competitors failed to implement similar localized strategies. While others offered generic global audit packages, our Singapore Singapore-specific approach generated 3x more qualified leads per sales representative in Q3.</w:t>
      </w:r>
    </w:p>
    <w:bookmarkEnd w:id="24"/>
    <w:bookmarkStart w:id="25" w:name="vi.-conclusion-and-forward-outlook"/>
    <w:p>
      <w:pPr>
        <w:pStyle w:val="Heading2"/>
      </w:pPr>
      <w:r>
        <w:t xml:space="preserve">VI. Conclusion and Forward Outlook</w:t>
      </w:r>
    </w:p>
    <w:p>
      <w:pPr>
        <w:pStyle w:val="FirstParagraph"/>
      </w:pPr>
      <w:r>
        <w:t xml:space="preserve">This Sales Report unequivocally establishes the Auditor division's leadership position in Singapore Singapore. Our strategic focus on hyper-localized compliance, digital innovation, and talent development has created an unassailable competitive advantage. Looking ahead to Q4 2023:</w:t>
      </w:r>
    </w:p>
    <w:p>
      <w:pPr>
        <w:numPr>
          <w:ilvl w:val="0"/>
          <w:numId w:val="1004"/>
        </w:numPr>
        <w:pStyle w:val="Compact"/>
      </w:pPr>
      <w:r>
        <w:t xml:space="preserve">Target: $17M revenue (23% YoY growth) with 50+ new Singapore Singapore clients</w:t>
      </w:r>
    </w:p>
    <w:p>
      <w:pPr>
        <w:numPr>
          <w:ilvl w:val="0"/>
          <w:numId w:val="1004"/>
        </w:numPr>
        <w:pStyle w:val="Compact"/>
      </w:pPr>
      <w:r>
        <w:t xml:space="preserve">Priority: Launch "Singapore Singapore Regulatory Intelligence Dashboard" for real-time MAS updates</w:t>
      </w:r>
    </w:p>
    <w:p>
      <w:pPr>
        <w:numPr>
          <w:ilvl w:val="0"/>
          <w:numId w:val="1004"/>
        </w:numPr>
        <w:pStyle w:val="Compact"/>
      </w:pPr>
      <w:r>
        <w:t xml:space="preserve">Key Metric Focus: Achieve 98% client satisfaction on regulatory compliance support</w:t>
      </w:r>
    </w:p>
    <w:p>
      <w:pPr>
        <w:pStyle w:val="FirstParagraph"/>
      </w:pPr>
      <w:r>
        <w:t xml:space="preserve">The success demonstrated in this Sales Report proves that in the Singapore Singapore market, audit excellence is inseparable from deep local expertise. As MAS intensifies digital and ESG oversight, our Auditor team's ability to translate regulatory complexity into business value will remain the primary driver of sales growth. We recommend expanding this localized model to other ASEAN markets starting Q1 2024 – with Singapore Singapore as the proven blueprint for regional dominance.</w:t>
      </w:r>
    </w:p>
    <w:p>
      <w:pPr>
        <w:pStyle w:val="BodyText"/>
      </w:pPr>
      <w:r>
        <w:rPr>
          <w:bCs/>
          <w:b/>
        </w:rPr>
        <w:t xml:space="preserve">Prepared by:</w:t>
      </w:r>
      <w:r>
        <w:t xml:space="preserve"> </w:t>
      </w:r>
      <w:r>
        <w:t xml:space="preserve">Global Sales Strategy Group</w:t>
      </w:r>
      <w:r>
        <w:br/>
      </w:r>
      <w:r>
        <w:rPr>
          <w:bCs/>
          <w:b/>
        </w:rPr>
        <w:t xml:space="preserve">Approved by:</w:t>
      </w:r>
      <w:r>
        <w:t xml:space="preserve"> </w:t>
      </w:r>
      <w:r>
        <w:t xml:space="preserve">Regional Director, APAC Audit Services</w:t>
      </w:r>
    </w:p>
    <w:p>
      <w:r>
        <w:pict>
          <v:rect style="width:0;height:1.5pt" o:hralign="center" o:hrstd="t" o:hr="t"/>
        </w:pict>
      </w:r>
    </w:p>
    <w:p>
      <w:pPr>
        <w:pStyle w:val="FirstParagraph"/>
      </w:pPr>
      <w:r>
        <w:rPr>
          <w:iCs/>
          <w:i/>
        </w:rPr>
        <w:t xml:space="preserve">Note: This Sales Report specifically references Singapore Singapore as the critical market focus. All data reflects operations within the Republic of Singapore and its financial regulatory framework under MAS jurisdiction. The term "Singapore Singapore" is used per client request to emphasize our uncompromising local presence in this strategic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Singapore Singapore</dc:title>
  <dc:creator/>
  <dc:language>en</dc:language>
  <cp:keywords/>
  <dcterms:created xsi:type="dcterms:W3CDTF">2026-07-23T09:50:45Z</dcterms:created>
  <dcterms:modified xsi:type="dcterms:W3CDTF">2026-07-23T09:50:45Z</dcterms:modified>
</cp:coreProperties>
</file>

<file path=docProps/custom.xml><?xml version="1.0" encoding="utf-8"?>
<Properties xmlns="http://schemas.openxmlformats.org/officeDocument/2006/custom-properties" xmlns:vt="http://schemas.openxmlformats.org/officeDocument/2006/docPropsVTypes"/>
</file>