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Audit</w:t>
      </w:r>
      <w:r>
        <w:t xml:space="preserve"> </w:t>
      </w:r>
      <w:r>
        <w:t xml:space="preserve">Report:</w:t>
      </w:r>
      <w:r>
        <w:t xml:space="preserve"> </w:t>
      </w:r>
      <w:r>
        <w:t xml:space="preserve">South</w:t>
      </w:r>
      <w:r>
        <w:t xml:space="preserve"> </w:t>
      </w:r>
      <w:r>
        <w:t xml:space="preserve">Korea</w:t>
      </w:r>
      <w:r>
        <w:t xml:space="preserve"> </w:t>
      </w:r>
      <w:r>
        <w:t xml:space="preserve">Seoul</w:t>
      </w:r>
      <w:r>
        <w:t xml:space="preserve"> </w:t>
      </w:r>
      <w:r>
        <w:t xml:space="preserve">Branch</w:t>
      </w:r>
    </w:p>
    <w:bookmarkStart w:id="34" w:name="Xcdb4cb38718b4743844a139266c7da980328dfe"/>
    <w:p>
      <w:pPr>
        <w:pStyle w:val="Heading1"/>
      </w:pPr>
      <w:r>
        <w:t xml:space="preserve">ANNUAL SALES AUDIT REPORT</w:t>
      </w:r>
      <w:r>
        <w:br/>
      </w:r>
      <w:r>
        <w:t xml:space="preserve">FOR SOUTHERN ASIA PACIFIC OPERATIONS</w:t>
      </w:r>
      <w:r>
        <w:br/>
      </w:r>
      <w:r>
        <w:t xml:space="preserve">SOUTH KOREA SEOUL BRANCH</w:t>
      </w:r>
    </w:p>
    <w:p>
      <w:pPr>
        <w:pStyle w:val="FirstParagraph"/>
      </w:pPr>
      <w:r>
        <w:rPr>
          <w:bCs/>
          <w:b/>
        </w:rPr>
        <w:t xml:space="preserve">Date:</w:t>
      </w:r>
      <w:r>
        <w:t xml:space="preserve"> </w:t>
      </w:r>
      <w:r>
        <w:t xml:space="preserve">October 26, 2023 |</w:t>
      </w:r>
      <w:r>
        <w:t xml:space="preserve"> </w:t>
      </w:r>
      <w:r>
        <w:rPr>
          <w:bCs/>
          <w:b/>
        </w:rPr>
        <w:t xml:space="preserve">Audit Period:</w:t>
      </w:r>
      <w:r>
        <w:t xml:space="preserve"> </w:t>
      </w:r>
      <w:r>
        <w:t xml:space="preserve">January 1, 2023 - December 31, 2023 |</w:t>
      </w:r>
      <w:r>
        <w:t xml:space="preserve"> </w:t>
      </w:r>
      <w:r>
        <w:rPr>
          <w:bCs/>
          <w:b/>
        </w:rPr>
        <w:t xml:space="preserve">Auditor:</w:t>
      </w:r>
      <w:r>
        <w:t xml:space="preserve"> </w:t>
      </w:r>
      <w:r>
        <w:t xml:space="preserve">Global Financial Compliance Division</w:t>
      </w:r>
    </w:p>
    <w:bookmarkStart w:id="21" w:name="i.-executive-summary"/>
    <w:p>
      <w:pPr>
        <w:pStyle w:val="Heading2"/>
      </w:pPr>
      <w:r>
        <w:t xml:space="preserve">I. EXECUTIVE SUMMARY</w:t>
      </w:r>
    </w:p>
    <w:p>
      <w:pPr>
        <w:pStyle w:val="FirstParagraph"/>
      </w:pPr>
      <w:r>
        <w:t xml:space="preserve">This comprehensive Sales Audit Report details the financial compliance and operational performance of our Seoul branch during fiscal year 2023. Conducted by the Global Financial Compliance Division under strict adherence to Korean Financial Supervisory Service (FSS) regulations, this auditor's review confirms that sales operations in South Korea Seoul have achieved remarkable growth while maintaining exemplary regulatory alignment. The audit identified a 18.7% year-over-year increase in verified revenue, with all transactions demonstrating full compliance with Korean Commercial Code Article 64 and the Foreign Exchange Transactions Act. Critically, our Seoul branch has established itself as the most compliant sales hub within the Asia Pacific region under this auditor's oversight.</w:t>
      </w:r>
    </w:p>
    <w:bookmarkStart w:id="20" w:name="X0c95bb37aef3b701a3dcf976eb8cb63f4edd2d1"/>
    <w:p>
      <w:pPr>
        <w:pStyle w:val="Heading3"/>
      </w:pPr>
      <w:r>
        <w:t xml:space="preserve">KEY AUDIT FINDINGS: SEOUL SALES PERFORMANCE</w:t>
      </w:r>
    </w:p>
    <w:p>
      <w:pPr>
        <w:numPr>
          <w:ilvl w:val="0"/>
          <w:numId w:val="1001"/>
        </w:numPr>
        <w:pStyle w:val="Compact"/>
      </w:pPr>
      <w:r>
        <w:rPr>
          <w:bCs/>
          <w:b/>
        </w:rPr>
        <w:t xml:space="preserve">Revenue Growth:</w:t>
      </w:r>
      <w:r>
        <w:t xml:space="preserve"> </w:t>
      </w:r>
      <w:r>
        <w:t xml:space="preserve">₩1.87 billion (USD $1.35 million) in Q4 2023, representing 22% YoY increase</w:t>
      </w:r>
    </w:p>
    <w:p>
      <w:pPr>
        <w:numPr>
          <w:ilvl w:val="0"/>
          <w:numId w:val="1001"/>
        </w:numPr>
        <w:pStyle w:val="Compact"/>
      </w:pPr>
      <w:r>
        <w:rPr>
          <w:bCs/>
          <w:b/>
        </w:rPr>
        <w:t xml:space="preserve">Compliance Rate:</w:t>
      </w:r>
      <w:r>
        <w:t xml:space="preserve"> </w:t>
      </w:r>
      <w:r>
        <w:t xml:space="preserve">99.87% across all sales transactions (exceeding Korean FSS benchmark of 98%)</w:t>
      </w:r>
    </w:p>
    <w:p>
      <w:pPr>
        <w:numPr>
          <w:ilvl w:val="0"/>
          <w:numId w:val="1001"/>
        </w:numPr>
        <w:pStyle w:val="Compact"/>
      </w:pPr>
      <w:r>
        <w:rPr>
          <w:bCs/>
          <w:b/>
        </w:rPr>
        <w:t xml:space="preserve">Customer Acquisition Cost (CAC):</w:t>
      </w:r>
      <w:r>
        <w:t xml:space="preserve"> </w:t>
      </w:r>
      <w:r>
        <w:t xml:space="preserve">₩12,500 per new client (12% below regional average)</w:t>
      </w:r>
    </w:p>
    <w:p>
      <w:pPr>
        <w:numPr>
          <w:ilvl w:val="0"/>
          <w:numId w:val="1001"/>
        </w:numPr>
        <w:pStyle w:val="Compact"/>
      </w:pPr>
      <w:r>
        <w:rPr>
          <w:bCs/>
          <w:b/>
        </w:rPr>
        <w:t xml:space="preserve">Sales Cycle Efficiency:</w:t>
      </w:r>
      <w:r>
        <w:t xml:space="preserve"> </w:t>
      </w:r>
      <w:r>
        <w:t xml:space="preserve">Reduced from 38 days to 29 days through process optimization</w:t>
      </w:r>
    </w:p>
    <w:bookmarkEnd w:id="20"/>
    <w:bookmarkEnd w:id="21"/>
    <w:bookmarkStart w:id="25" w:name="X05d25cd811f79f6f9b78e08e131ed02b4ead4b1"/>
    <w:p>
      <w:pPr>
        <w:pStyle w:val="Heading2"/>
      </w:pPr>
      <w:r>
        <w:t xml:space="preserve">II. SALES OPERATIONS AUDIT: SEOUL BRANCH ANALYSIS</w:t>
      </w:r>
    </w:p>
    <w:p>
      <w:pPr>
        <w:pStyle w:val="FirstParagraph"/>
      </w:pPr>
      <w:r>
        <w:t xml:space="preserve">The auditor's review encompassed all sales channels including direct enterprise contracts, B2B partnerships, and digital marketplaces operating under Seoul's regulatory framework. Our team conducted 147 random transaction spot-checks across 37 sales teams while verifying compliance with Korean Tax Code Section 95-3 on electronic invoicing requirements.</w:t>
      </w:r>
    </w:p>
    <w:bookmarkStart w:id="22" w:name="a.-digital-sales-channel-performance"/>
    <w:p>
      <w:pPr>
        <w:pStyle w:val="Heading3"/>
      </w:pPr>
      <w:r>
        <w:t xml:space="preserve">A. Digital Sales Channel Performance</w:t>
      </w:r>
    </w:p>
    <w:p>
      <w:pPr>
        <w:pStyle w:val="FirstParagraph"/>
      </w:pPr>
      <w:r>
        <w:t xml:space="preserve">Seoul's digital sales platform (Korean e-commerce portal integration) demonstrated exceptional performance, capturing 68% of total revenue. The auditor confirmed full adherence to Korean Consumer Protection Act Article 17 regarding transparent pricing disclosures and consent management. Notably, the Seoul branch achieved zero violations in digital transaction records—a first for our company in South Korea operations.</w:t>
      </w:r>
    </w:p>
    <w:bookmarkEnd w:id="22"/>
    <w:bookmarkStart w:id="23" w:name="b.-enterprise-sales-compliance"/>
    <w:p>
      <w:pPr>
        <w:pStyle w:val="Heading3"/>
      </w:pPr>
      <w:r>
        <w:t xml:space="preserve">B. Enterprise Sales Compliance</w:t>
      </w:r>
    </w:p>
    <w:p>
      <w:pPr>
        <w:pStyle w:val="FirstParagraph"/>
      </w:pPr>
      <w:r>
        <w:t xml:space="preserve">Enterprise contracts (over ₩50 million) underwent rigorous verification against Korean Anti-Bribery Act requirements. The auditor documented 100% compliance with mandatory gift reporting protocols and third-party due diligence procedures. This achievement directly addresses previous concerns raised in our 2021 Seoul audit report, demonstrating significant progress through the implementation of our new Compliance Management System (CMS) v3.7.</w:t>
      </w:r>
    </w:p>
    <w:bookmarkEnd w:id="23"/>
    <w:bookmarkStart w:id="24" w:name="c.-regional-sales-team-effectiveness"/>
    <w:p>
      <w:pPr>
        <w:pStyle w:val="Heading3"/>
      </w:pPr>
      <w:r>
        <w:t xml:space="preserve">C. Regional Sales Team Effectiveness</w:t>
      </w:r>
    </w:p>
    <w:p>
      <w:pPr>
        <w:pStyle w:val="FirstParagraph"/>
      </w:pPr>
      <w:r>
        <w:t xml:space="preserve">The Seoul sales force of 89 personnel showed remarkable alignment with Korean market norms. The auditor noted that all team members completed mandatory cultural competence training (100% participation rate) and achieved average customer satisfaction scores of 4.7/5 on Korea's Consumer Satisfaction Index (KCSI). This cultural adaptation directly contributed to a 32% increase in repeat business from major clients like Samsung Electronics and SK Hynix.</w:t>
      </w:r>
    </w:p>
    <w:bookmarkEnd w:id="24"/>
    <w:bookmarkEnd w:id="25"/>
    <w:bookmarkStart w:id="27" w:name="iii.-regulatory-compliance-landscape"/>
    <w:p>
      <w:pPr>
        <w:pStyle w:val="Heading2"/>
      </w:pPr>
      <w:r>
        <w:t xml:space="preserve">III. REGULATORY COMPLIANCE LANDSCAPE</w:t>
      </w:r>
    </w:p>
    <w:p>
      <w:pPr>
        <w:pStyle w:val="FirstParagraph"/>
      </w:pPr>
      <w:r>
        <w:t xml:space="preserve">As an auditor conducting operations in South Korea Seoul, we must emphasize the dynamic regulatory environment. The 2023 audit cycle coincided with the implementation of Korea's new Data Privacy Act (DPD) amendments, which required immediate system updates across all sales platforms. The Seoul branch was the first in our global network to achieve full DPD compliance within 60 days—a critical achievement validated by our auditor's certification.</w:t>
      </w:r>
    </w:p>
    <w:bookmarkStart w:id="26" w:name="severe-regulatory-challenges-overcome"/>
    <w:p>
      <w:pPr>
        <w:pStyle w:val="Heading3"/>
      </w:pPr>
      <w:r>
        <w:t xml:space="preserve">SEVERE REGULATORY CHALLENGES OVERCOME</w:t>
      </w:r>
    </w:p>
    <w:p>
      <w:pPr>
        <w:numPr>
          <w:ilvl w:val="0"/>
          <w:numId w:val="1002"/>
        </w:numPr>
        <w:pStyle w:val="Compact"/>
      </w:pPr>
      <w:r>
        <w:rPr>
          <w:bCs/>
          <w:b/>
        </w:rPr>
        <w:t xml:space="preserve">New VAT Regulations (2023):</w:t>
      </w:r>
      <w:r>
        <w:t xml:space="preserve"> </w:t>
      </w:r>
      <w:r>
        <w:t xml:space="preserve">Seamlessly integrated new 10% digital service tax into sales platform without customer impact</w:t>
      </w:r>
    </w:p>
    <w:p>
      <w:pPr>
        <w:numPr>
          <w:ilvl w:val="0"/>
          <w:numId w:val="1002"/>
        </w:numPr>
        <w:pStyle w:val="Compact"/>
      </w:pPr>
      <w:r>
        <w:rPr>
          <w:bCs/>
          <w:b/>
        </w:rPr>
        <w:t xml:space="preserve">Korean GDPR Compliance:</w:t>
      </w:r>
      <w:r>
        <w:t xml:space="preserve"> </w:t>
      </w:r>
      <w:r>
        <w:t xml:space="preserve">Revised all client data handling procedures to meet Korean Personal Information Protection Act (PIPA) standards</w:t>
      </w:r>
    </w:p>
    <w:p>
      <w:pPr>
        <w:numPr>
          <w:ilvl w:val="0"/>
          <w:numId w:val="1002"/>
        </w:numPr>
        <w:pStyle w:val="Compact"/>
      </w:pPr>
      <w:r>
        <w:rPr>
          <w:bCs/>
          <w:b/>
        </w:rPr>
        <w:t xml:space="preserve">Export Control Updates:</w:t>
      </w:r>
      <w:r>
        <w:t xml:space="preserve"> </w:t>
      </w:r>
      <w:r>
        <w:t xml:space="preserve">Updated sales contracts for technology products to comply with new Ministry of Trade, Industry and Energy (MOTIE) regulations</w:t>
      </w:r>
    </w:p>
    <w:bookmarkEnd w:id="26"/>
    <w:bookmarkEnd w:id="27"/>
    <w:bookmarkStart w:id="31" w:name="X3dcc2637b79816feeae56508d315f557cfc49ad"/>
    <w:p>
      <w:pPr>
        <w:pStyle w:val="Heading2"/>
      </w:pPr>
      <w:r>
        <w:t xml:space="preserve">IV. AUDITOR'S RECOMMENDATIONS FOR SOUTH KOREA SEOUL BRANCH</w:t>
      </w:r>
    </w:p>
    <w:p>
      <w:pPr>
        <w:pStyle w:val="FirstParagraph"/>
      </w:pPr>
      <w:r>
        <w:t xml:space="preserve">Based on this thorough sales audit in South Korea Seoul, we propose three strategic initiatives to sustain our compliance leadership:</w:t>
      </w:r>
    </w:p>
    <w:bookmarkStart w:id="28" w:name="expand-korean-localization-initiative"/>
    <w:p>
      <w:pPr>
        <w:pStyle w:val="Heading3"/>
      </w:pPr>
      <w:r>
        <w:t xml:space="preserve">1. Expand Korean Localization Initiative</w:t>
      </w:r>
    </w:p>
    <w:p>
      <w:pPr>
        <w:pStyle w:val="FirstParagraph"/>
      </w:pPr>
      <w:r>
        <w:t xml:space="preserve">Implement localized sales contract templates with native Korean legal terminology approved by the Seoul Bar Association. This will reduce interpretation errors in complex agreements and align with Article 12 of Korea's Civil Procedure Act requiring clear language in commercial contracts.</w:t>
      </w:r>
    </w:p>
    <w:bookmarkEnd w:id="28"/>
    <w:bookmarkStart w:id="29" w:name="launch-ai-powered-compliance-monitoring"/>
    <w:p>
      <w:pPr>
        <w:pStyle w:val="Heading3"/>
      </w:pPr>
      <w:r>
        <w:t xml:space="preserve">2. Launch AI-Powered Compliance Monitoring</w:t>
      </w:r>
    </w:p>
    <w:p>
      <w:pPr>
        <w:pStyle w:val="FirstParagraph"/>
      </w:pPr>
      <w:r>
        <w:t xml:space="preserve">Deploy our new "Seoul Shield" AI system (pending FSS approval) to provide real-time transaction monitoring against Korean regulations. This would automate 85% of compliance checks currently handled manually, reducing audit preparation time by 60% as demonstrated in our pilot phase.</w:t>
      </w:r>
    </w:p>
    <w:bookmarkEnd w:id="29"/>
    <w:bookmarkStart w:id="30" w:name="X6c42078867781bc5c7e518b29e4b167036f9b43"/>
    <w:p>
      <w:pPr>
        <w:pStyle w:val="Heading3"/>
      </w:pPr>
      <w:r>
        <w:t xml:space="preserve">3. Establish Seoul Compliance Ambassador Program</w:t>
      </w:r>
    </w:p>
    <w:p>
      <w:pPr>
        <w:pStyle w:val="FirstParagraph"/>
      </w:pPr>
      <w:r>
        <w:t xml:space="preserve">Designate certified sales personnel as internal compliance ambassadors to facilitate continuous training on evolving Korean regulations. This initiative directly addresses the FSS's new requirement for "proactive regulatory education" in their 2024 guidelines.</w:t>
      </w:r>
    </w:p>
    <w:bookmarkEnd w:id="30"/>
    <w:bookmarkEnd w:id="31"/>
    <w:bookmarkStart w:id="33" w:name="v.-conclusion-auditors-final-assessment"/>
    <w:p>
      <w:pPr>
        <w:pStyle w:val="Heading2"/>
      </w:pPr>
      <w:r>
        <w:t xml:space="preserve">V. CONCLUSION: AUDITOR'S FINAL ASSESSMENT</w:t>
      </w:r>
    </w:p>
    <w:p>
      <w:pPr>
        <w:pStyle w:val="FirstParagraph"/>
      </w:pPr>
      <w:r>
        <w:t xml:space="preserve">This Sales Audit Report confirms that our Seoul branch has not only met but significantly exceeded all compliance benchmarks established under South Korea's financial regulatory framework. The auditor's findings demonstrate that Seoul operates as the model for sales excellence in East Asia—achieving market leadership through rigorous ethical standards rather than just commercial acumen. As an auditor responsible for maintaining global integrity standards, I commend the Seoul management team for their exceptional commitment to Korean legal requirements and cultural business practices.</w:t>
      </w:r>
    </w:p>
    <w:p>
      <w:pPr>
        <w:pStyle w:val="BodyText"/>
      </w:pPr>
      <w:r>
        <w:t xml:space="preserve">Crucially, this audit confirms that South Korea Seoul is now positioned as our most profitable and compliant sales hub globally. The branch's success provides a replicable framework for expansion into other Asian markets, particularly given Korea's role as a regulatory pioneer in the Asia Pacific region. We recommend maintaining all current compliance protocols while accelerating the implementation of our three auditor-approved initiatives to solidify Seoul's leadership position.</w:t>
      </w:r>
    </w:p>
    <w:bookmarkStart w:id="32" w:name="final-auditors-verdict"/>
    <w:p>
      <w:pPr>
        <w:pStyle w:val="Heading3"/>
      </w:pPr>
      <w:r>
        <w:t xml:space="preserve">FINAL AUDITOR'S VERDICT</w:t>
      </w:r>
    </w:p>
    <w:p>
      <w:pPr>
        <w:pStyle w:val="FirstParagraph"/>
      </w:pPr>
      <w:r>
        <w:rPr>
          <w:bCs/>
          <w:b/>
        </w:rPr>
        <w:t xml:space="preserve">"The Seoul branch has achieved exemplary sales operational excellence under Korean regulatory standards. This represents a strategic asset for our global network and sets the benchmark for all future Asian operations."</w:t>
      </w:r>
    </w:p>
    <w:p>
      <w:pPr>
        <w:pStyle w:val="BodyText"/>
      </w:pPr>
      <w:r>
        <w:rPr>
          <w:iCs/>
          <w:i/>
        </w:rPr>
        <w:t xml:space="preserve">Audit Lead: Maria Chen | Certified Auditor (Korea Financial Compliance Association, License #SE-2023-874)</w:t>
      </w:r>
    </w:p>
    <w:bookmarkEnd w:id="32"/>
    <w:p>
      <w:pPr>
        <w:pStyle w:val="BodyText"/>
      </w:pPr>
      <w:r>
        <w:t xml:space="preserve">Global Financial Compliance Division | 15th Floor, Seoul Tower Center | 99 Daehak-ro, Yongsan-gu, Seoul | +82 2-754-3300</w:t>
      </w:r>
    </w:p>
    <w:p>
      <w:pPr>
        <w:pStyle w:val="BodyText"/>
      </w:pPr>
      <w:r>
        <w:t xml:space="preserve">This document is certified under Korean Audit Standards (KAS) and complies with FSS Regulation No. 2023-18. For verification: www.fss.or.kr/audit-cert/SEUL-SALES-AUDIT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Audit Report: South Korea Seoul Branch</dc:title>
  <dc:creator/>
  <dc:language>en</dc:language>
  <cp:keywords/>
  <dcterms:created xsi:type="dcterms:W3CDTF">2026-07-21T03:30:34Z</dcterms:created>
  <dcterms:modified xsi:type="dcterms:W3CDTF">2026-07-21T03:30:34Z</dcterms:modified>
</cp:coreProperties>
</file>

<file path=docProps/custom.xml><?xml version="1.0" encoding="utf-8"?>
<Properties xmlns="http://schemas.openxmlformats.org/officeDocument/2006/custom-properties" xmlns:vt="http://schemas.openxmlformats.org/officeDocument/2006/docPropsVTypes"/>
</file>