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p>
    <w:bookmarkStart w:id="27" w:name="X13f985829e2c2010ff8ff681514c190a72218be"/>
    <w:p>
      <w:pPr>
        <w:pStyle w:val="Heading1"/>
      </w:pPr>
      <w:r>
        <w:t xml:space="preserve">Thailand Bangkok Sales Report: Comprehensive Auditor Performance Evaluation</w:t>
      </w:r>
    </w:p>
    <w:bookmarkStart w:id="20" w:name="executive-summary"/>
    <w:p>
      <w:pPr>
        <w:pStyle w:val="Heading2"/>
      </w:pPr>
      <w:r>
        <w:t xml:space="preserve">Executive Summary</w:t>
      </w:r>
    </w:p>
    <w:p>
      <w:pPr>
        <w:pStyle w:val="FirstParagraph"/>
      </w:pPr>
      <w:r>
        <w:t xml:space="preserve">This Sales Report presents a detailed performance analysis of our auditor operations within the dynamic commercial landscape of Thailand Bangkok. As the financial hub of Southeast Asia, Bangkok's unique market conditions demand rigorous sales oversight and auditing excellence. This document examines how our dedicated Auditor team has navigated complex regulatory environments while driving sales growth across key sectors including retail, manufacturing, and tourism services. The findings demonstrate that strategic auditor deployment directly correlates with 23% year-over-year revenue expansion in the Bangkok market.</w:t>
      </w:r>
    </w:p>
    <w:bookmarkEnd w:id="20"/>
    <w:bookmarkStart w:id="21" w:name="X295f598d96b82629bedd69946365a11024fc2c7"/>
    <w:p>
      <w:pPr>
        <w:pStyle w:val="Heading2"/>
      </w:pPr>
      <w:r>
        <w:t xml:space="preserve">Market Context: Bangkok's Sales Environment</w:t>
      </w:r>
    </w:p>
    <w:p>
      <w:pPr>
        <w:pStyle w:val="FirstParagraph"/>
      </w:pPr>
      <w:r>
        <w:t xml:space="preserve">Bangkok represents a $147 billion economic engine where sales operations face distinct challenges including diverse regulatory frameworks (Thailand's Revenue Department Circulars, SEC guidelines), rapid market fluctuations, and culturally nuanced client expectations. Our Sales Report confirms that 87% of Bangkok-based clients prioritize auditor credibility as a decisive factor in vendor selection – making the Auditor role not just compliance-driven but strategically vital to sales conversion. The city's high concentration of multinational corporations (over 4,500) and emerging SMEs creates both opportunity and complexity requiring specialized auditing approaches.</w:t>
      </w:r>
    </w:p>
    <w:bookmarkEnd w:id="21"/>
    <w:bookmarkStart w:id="22" w:name="X9df1b816d286933ea6f4c67405a3aed2f0429fc"/>
    <w:p>
      <w:pPr>
        <w:pStyle w:val="Heading2"/>
      </w:pPr>
      <w:r>
        <w:t xml:space="preserve">Key Performance Indicators: Auditor-Driven Sales Metrics</w:t>
      </w:r>
    </w:p>
    <w:p>
      <w:pPr>
        <w:pStyle w:val="FirstParagraph"/>
      </w:pPr>
      <w:r>
        <w:t xml:space="preserve">KPI Category</w:t>
      </w:r>
    </w:p>
    <w:p>
      <w:pPr>
        <w:pStyle w:val="BodyText"/>
      </w:pPr>
      <w:r>
        <w:t xml:space="preserve">Q3 2023 (Thailand Bangkok)</w:t>
      </w:r>
    </w:p>
    <w:p>
      <w:pPr>
        <w:pStyle w:val="BodyText"/>
      </w:pPr>
      <w:r>
        <w:t xml:space="preserve">Q3 2024 (Thailand Bangkok)</w:t>
      </w:r>
    </w:p>
    <w:p>
      <w:pPr>
        <w:pStyle w:val="BodyText"/>
      </w:pPr>
      <w:r>
        <w:t xml:space="preserve">YoY Change</w:t>
      </w:r>
    </w:p>
    <w:p>
      <w:pPr>
        <w:pStyle w:val="BodyText"/>
      </w:pPr>
      <w:r>
        <w:t xml:space="preserve">Sales Conversion Rate</w:t>
      </w:r>
    </w:p>
    <w:p>
      <w:pPr>
        <w:pStyle w:val="BodyText"/>
      </w:pPr>
      <w:r>
        <w:t xml:space="preserve">68%</w:t>
      </w:r>
    </w:p>
    <w:p>
      <w:pPr>
        <w:pStyle w:val="BodyText"/>
      </w:pPr>
      <w:r>
        <w:t xml:space="preserve">79%</w:t>
      </w:r>
    </w:p>
    <w:p>
      <w:pPr>
        <w:pStyle w:val="BodyText"/>
      </w:pPr>
      <w:r>
        <w:t xml:space="preserve">+11.0%</w:t>
      </w:r>
    </w:p>
    <w:p>
      <w:pPr>
        <w:pStyle w:val="BodyText"/>
      </w:pPr>
      <w:r>
        <w:t xml:space="preserve">Audit Compliance Rate</w:t>
      </w:r>
    </w:p>
    <w:p>
      <w:pPr>
        <w:pStyle w:val="BodyText"/>
      </w:pPr>
      <w:r>
        <w:t xml:space="preserve">92%97%+5.0%</w:t>
      </w:r>
    </w:p>
    <w:p>
      <w:pPr>
        <w:pStyle w:val="BodyText"/>
      </w:pPr>
      <w:r>
        <w:t xml:space="preserve">84%</w:t>
      </w:r>
    </w:p>
    <w:p>
      <w:pPr>
        <w:pStyle w:val="BodyText"/>
      </w:pPr>
      <w:r>
        <w:t xml:space="preserve">91%</w:t>
      </w:r>
    </w:p>
    <w:p>
      <w:pPr>
        <w:pStyle w:val="BodyText"/>
      </w:pPr>
      <w:r>
        <w:t xml:space="preserve">+7.0%</w:t>
      </w:r>
    </w:p>
    <w:p>
      <w:pPr>
        <w:pStyle w:val="BodyText"/>
      </w:pPr>
      <w:r>
        <w:t xml:space="preserve">Upsell Opportunity Capture</w:t>
      </w:r>
    </w:p>
    <w:p>
      <w:pPr>
        <w:pStyle w:val="BodyText"/>
      </w:pPr>
      <w:r>
        <w:t xml:space="preserve">32%</w:t>
      </w:r>
    </w:p>
    <w:p>
      <w:pPr>
        <w:pStyle w:val="BodyText"/>
      </w:pPr>
      <w:r>
        <w:t xml:space="preserve">45%</w:t>
      </w:r>
    </w:p>
    <w:p>
      <w:pPr>
        <w:pStyle w:val="BodyText"/>
      </w:pPr>
      <w:r>
        <w:t xml:space="preserve">+13.0%</w:t>
      </w:r>
    </w:p>
    <w:p>
      <w:pPr>
        <w:pStyle w:val="BodyText"/>
      </w:pPr>
      <w:r>
        <w:t xml:space="preserve">The data reveals a direct correlation between enhanced auditor performance and sales outcomes. Our Bangkok-based Auditors achieved 97% compliance with Thai tax regulations (exceeding the industry average of 88%), directly contributing to client trust and subsequent sales growth. Notably, Audit-verified sales proposals saw a 22% higher close rate in the Bangkok market compared to non-audited counterparts.</w:t>
      </w:r>
    </w:p>
    <w:bookmarkEnd w:id="22"/>
    <w:bookmarkStart w:id="23" w:name="X08316820053527e493ad0acdb969ecd9563ef56"/>
    <w:p>
      <w:pPr>
        <w:pStyle w:val="Heading2"/>
      </w:pPr>
      <w:r>
        <w:t xml:space="preserve">The Critical Role of the Auditor in Bangkok Sales Success</w:t>
      </w:r>
    </w:p>
    <w:p>
      <w:pPr>
        <w:pStyle w:val="FirstParagraph"/>
      </w:pPr>
      <w:r>
        <w:t xml:space="preserve">In Thailand's business culture where relationship capital is paramount, our Auditor doesn't merely verify transactions – they serve as strategic sales enablers. Key responsibilities include:</w:t>
      </w:r>
    </w:p>
    <w:p>
      <w:pPr>
        <w:pStyle w:val="BodyText"/>
      </w:pPr>
      <w:r>
        <w:rPr>
          <w:bCs/>
          <w:b/>
        </w:rPr>
        <w:t xml:space="preserve">Cultural Translation:</w:t>
      </w:r>
      <w:r>
        <w:t xml:space="preserve"> </w:t>
      </w:r>
      <w:r>
        <w:t xml:space="preserve">Interpreting Thai commercial norms for global sales teams (e.g., understanding "sanuk" culture in negotiations)</w:t>
      </w:r>
    </w:p>
    <w:p>
      <w:pPr>
        <w:pStyle w:val="BodyText"/>
      </w:pPr>
      <w:r>
        <w:rPr>
          <w:bCs/>
          <w:b/>
        </w:rPr>
        <w:t xml:space="preserve">Regulatory Shielding:</w:t>
      </w:r>
      <w:r>
        <w:t xml:space="preserve"> </w:t>
      </w:r>
      <w:r>
        <w:t xml:space="preserve">Preventing compliance risks that could derail sales deals in Bangkok's sensitive markets</w:t>
      </w:r>
    </w:p>
    <w:p>
      <w:pPr>
        <w:pStyle w:val="BodyText"/>
      </w:pPr>
      <w:r>
        <w:rPr>
          <w:bCs/>
          <w:b/>
        </w:rPr>
        <w:t xml:space="preserve">Sales Intelligence:</w:t>
      </w:r>
      <w:r>
        <w:t xml:space="preserve"> </w:t>
      </w:r>
      <w:r>
        <w:t xml:space="preserve">Identifying cross-selling opportunities through transaction pattern analysis (e.g., spotting retail clients needing logistics solutions)</w:t>
      </w:r>
    </w:p>
    <w:p>
      <w:pPr>
        <w:numPr>
          <w:ilvl w:val="0"/>
          <w:numId w:val="1001"/>
        </w:numPr>
        <w:pStyle w:val="Compact"/>
      </w:pPr>
      <w:r>
        <w:rPr>
          <w:iCs/>
          <w:i/>
        </w:rPr>
        <w:t xml:space="preserve">Case Study:</w:t>
      </w:r>
      <w:r>
        <w:t xml:space="preserve"> </w:t>
      </w:r>
      <w:r>
        <w:t xml:space="preserve">Our Auditor identified inconsistent import documentation patterns for a major Bangkok fashion brand, prompting a tailored customs compliance service that generated $1.2M in new revenue within 90 days.</w:t>
      </w:r>
    </w:p>
    <w:bookmarkEnd w:id="23"/>
    <w:bookmarkStart w:id="24" w:name="Xdce282d6c96e6ec5426982db0a097817c0798cd"/>
    <w:p>
      <w:pPr>
        <w:pStyle w:val="Heading2"/>
      </w:pPr>
      <w:r>
        <w:t xml:space="preserve">Bangkok-Specific Challenges and Auditor Solutions</w:t>
      </w:r>
    </w:p>
    <w:p>
      <w:pPr>
        <w:pStyle w:val="FirstParagraph"/>
      </w:pPr>
      <w:r>
        <w:t xml:space="preserve">Operating in Thailand Bangkok presents unique hurdles our Auditors systematically overcome:</w:t>
      </w:r>
    </w:p>
    <w:p>
      <w:pPr>
        <w:pStyle w:val="BodyText"/>
      </w:pPr>
      <w:r>
        <w:t xml:space="preserve">Challenge</w:t>
      </w:r>
    </w:p>
    <w:p>
      <w:pPr>
        <w:pStyle w:val="BodyText"/>
      </w:pPr>
      <w:r>
        <w:t xml:space="preserve">Auditor Intervention Strategy</w:t>
      </w:r>
    </w:p>
    <w:p>
      <w:pPr>
        <w:pStyle w:val="BodyText"/>
      </w:pPr>
      <w:r>
        <w:t xml:space="preserve">Sales Impact</w:t>
      </w:r>
    </w:p>
    <w:p>
      <w:pPr>
        <w:pStyle w:val="BodyText"/>
      </w:pPr>
      <w:r>
        <w:t xml:space="preserve">Complex Taxation (VAT, Special Business Tax)</w:t>
      </w:r>
    </w:p>
    <w:p>
      <w:pPr>
        <w:pStyle w:val="BodyText"/>
      </w:pPr>
      <w:r>
        <w:t xml:space="preserve">Pre-sale tax modeling using Thai Revenue Department databases</w:t>
      </w:r>
    </w:p>
    <w:p>
      <w:pPr>
        <w:pStyle w:val="BodyText"/>
      </w:pPr>
      <w:r>
        <w:t xml:space="preserve">Reduced proposal rejections by 34%</w:t>
      </w:r>
    </w:p>
    <w:p>
      <w:pPr>
        <w:pStyle w:val="BodyText"/>
      </w:pPr>
      <w:r>
        <w:t xml:space="preserve">Cultural Communication GapsBilingual (Thai/English) audit reports with visual compliance guidesIncreased client satisfaction scores by 27%</w:t>
      </w:r>
    </w:p>
    <w:p>
      <w:pPr>
        <w:pStyle w:val="BodyText"/>
      </w:pPr>
      <w:r>
        <w:t xml:space="preserve">Regulatory Volatility (e.g., 2023 e-commerce tax changes)</w:t>
      </w:r>
    </w:p>
    <w:p>
      <w:pPr>
        <w:pStyle w:val="BodyText"/>
      </w:pPr>
      <w:r>
        <w:t xml:space="preserve">Real-time compliance alerts to sales team via Bangkok-specific portal</w:t>
      </w:r>
    </w:p>
    <w:p>
      <w:pPr>
        <w:pStyle w:val="BodyText"/>
      </w:pPr>
      <w:r>
        <w:t xml:space="preserve">Prevented $850K in potential compliance penalties</w:t>
      </w:r>
    </w:p>
    <w:bookmarkEnd w:id="24"/>
    <w:bookmarkStart w:id="25" w:name="X46d823f54c7e860bb72beb87ff22b2da78bf8d5"/>
    <w:p>
      <w:pPr>
        <w:pStyle w:val="Heading2"/>
      </w:pPr>
      <w:r>
        <w:t xml:space="preserve">Sales Report: Strategic Recommendations for Thailand Bangkok Operations</w:t>
      </w:r>
    </w:p>
    <w:p>
      <w:pPr>
        <w:pStyle w:val="FirstParagraph"/>
      </w:pPr>
      <w:r>
        <w:t xml:space="preserve">Based on this comprehensive analysis, we recommend:</w:t>
      </w:r>
    </w:p>
    <w:p>
      <w:pPr>
        <w:numPr>
          <w:ilvl w:val="0"/>
          <w:numId w:val="1002"/>
        </w:numPr>
        <w:pStyle w:val="Compact"/>
      </w:pPr>
      <w:r>
        <w:rPr>
          <w:bCs/>
          <w:b/>
        </w:rPr>
        <w:t xml:space="preserve">Expand Auditor Embedded Teams:</w:t>
      </w:r>
      <w:r>
        <w:t xml:space="preserve"> </w:t>
      </w:r>
      <w:r>
        <w:t xml:space="preserve">Deploy 15 additional auditors directly within sales units across Bangkok's Business District and Eastern Economic Corridor (EEC) zones to provide real-time sales support. Projected ROI: 210% through accelerated deal closure.</w:t>
      </w:r>
    </w:p>
    <w:p>
      <w:pPr>
        <w:numPr>
          <w:ilvl w:val="0"/>
          <w:numId w:val="1002"/>
        </w:numPr>
        <w:pStyle w:val="Compact"/>
      </w:pPr>
      <w:r>
        <w:rPr>
          <w:bCs/>
          <w:b/>
        </w:rPr>
        <w:t xml:space="preserve">Cultural Competency Certification:</w:t>
      </w:r>
      <w:r>
        <w:t xml:space="preserve"> </w:t>
      </w:r>
      <w:r>
        <w:t xml:space="preserve">Mandate Thai business etiquette training for all auditors servicing Bangkok clients, targeting 100% certification by Q2 2025. Current gap analysis shows only 43% of auditors have formal cultural training.</w:t>
      </w:r>
    </w:p>
    <w:p>
      <w:pPr>
        <w:numPr>
          <w:ilvl w:val="0"/>
          <w:numId w:val="1002"/>
        </w:numPr>
        <w:pStyle w:val="Compact"/>
      </w:pPr>
      <w:r>
        <w:rPr>
          <w:bCs/>
          <w:b/>
        </w:rPr>
        <w:t xml:space="preserve">AI-Powered Compliance Dashboard:</w:t>
      </w:r>
      <w:r>
        <w:t xml:space="preserve"> </w:t>
      </w:r>
      <w:r>
        <w:t xml:space="preserve">Implement AI tool integrating Thailand's Department of Revenue APIs to predict regulatory shifts. Estimated sales impact: 18% faster deal velocity during compliance review phases.</w:t>
      </w:r>
    </w:p>
    <w:bookmarkEnd w:id="25"/>
    <w:bookmarkStart w:id="26" w:name="X9fd4f2db229e0af0633013c4dfd6448d47e6c5e"/>
    <w:p>
      <w:pPr>
        <w:pStyle w:val="Heading2"/>
      </w:pPr>
      <w:r>
        <w:t xml:space="preserve">Conclusion: Auditor as Sales Catalyst in Bangkok</w:t>
      </w:r>
    </w:p>
    <w:p>
      <w:pPr>
        <w:pStyle w:val="FirstParagraph"/>
      </w:pPr>
      <w:r>
        <w:t xml:space="preserve">This Sales Report unequivocally demonstrates that the Auditor has evolved beyond a back-office function into Thailand Bangkok's most critical sales accelerator. In a market where 76% of executives cite regulatory uncertainty as their top sales barrier (Thailand Chamber of Commerce 2024), our Auditor team has transformed risk into revenue opportunity. The 97% compliance rate achieved in Bangkok operations isn't merely about avoiding penalties – it's the foundation enabling our sales force to confidently pursue high-value contracts that would otherwise be unattainable.</w:t>
      </w:r>
    </w:p>
    <w:p>
      <w:pPr>
        <w:pStyle w:val="BodyText"/>
      </w:pPr>
      <w:r>
        <w:t xml:space="preserve">As Thailand's economy continues its digital transformation under the Thailand 4.0 initiative, the Auditor will become increasingly indispensable. The strategic alignment of sales objectives with regulatory excellence – as evidenced in our Bangkok operations – sets a new benchmark for multinational sales performance in Southeast Asia. We project that continued investment in auditor capabilities will drive Bangkok's contribution to global revenue growth from 17% to 29% within the next fiscal year.</w:t>
      </w:r>
    </w:p>
    <w:p>
      <w:pPr>
        <w:pStyle w:val="BodyText"/>
      </w:pPr>
      <w:r>
        <w:rPr>
          <w:bCs/>
          <w:b/>
        </w:rPr>
        <w:t xml:space="preserve">Prepared For:</w:t>
      </w:r>
      <w:r>
        <w:t xml:space="preserve"> </w:t>
      </w:r>
      <w:r>
        <w:t xml:space="preserve">Regional Sales Leadership, Thailand Bangkok Operations</w:t>
      </w:r>
      <w:r>
        <w:br/>
      </w:r>
      <w:r>
        <w:rPr>
          <w:bCs/>
          <w:b/>
        </w:rPr>
        <w:t xml:space="preserve">Date:</w:t>
      </w:r>
      <w:r>
        <w:t xml:space="preserve"> </w:t>
      </w:r>
      <w:r>
        <w:t xml:space="preserve">October 26, 2024</w:t>
      </w:r>
      <w:r>
        <w:br/>
      </w:r>
      <w:r>
        <w:rPr>
          <w:bCs/>
          <w:b/>
        </w:rPr>
        <w:t xml:space="preserve">Auditor Certification Status:</w:t>
      </w:r>
      <w:r>
        <w:t xml:space="preserve"> </w:t>
      </w:r>
      <w:r>
        <w:t xml:space="preserve">All data verified by certified Thai Chartered Accountants (TCA) under Thai Institute of Certified Public Accountants</w:t>
      </w:r>
    </w:p>
    <w:p>
      <w:r>
        <w:pict>
          <v:rect style="width:0;height:1.5pt" o:hralign="center" o:hrstd="t" o:hr="t"/>
        </w:pict>
      </w:r>
    </w:p>
    <w:p>
      <w:pPr>
        <w:pStyle w:val="FirstParagraph"/>
      </w:pPr>
      <w:r>
        <w:rPr>
          <w:iCs/>
          <w:i/>
        </w:rPr>
        <w:t xml:space="preserve">This document is a confidential sales performance analysis for internal use only. Unauthorized distribution prohibited under Thailand Copyright Act B.E. 2550 (2007).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Report: Auditor Performance Analysis</dc:title>
  <dc:creator/>
  <dc:language>en</dc:language>
  <cp:keywords/>
  <dcterms:created xsi:type="dcterms:W3CDTF">2026-07-23T11:40:12Z</dcterms:created>
  <dcterms:modified xsi:type="dcterms:W3CDTF">2026-07-23T11:40:12Z</dcterms:modified>
</cp:coreProperties>
</file>

<file path=docProps/custom.xml><?xml version="1.0" encoding="utf-8"?>
<Properties xmlns="http://schemas.openxmlformats.org/officeDocument/2006/custom-properties" xmlns:vt="http://schemas.openxmlformats.org/officeDocument/2006/docPropsVTypes"/>
</file>