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Analysis</w:t>
      </w:r>
      <w:r>
        <w:t xml:space="preserve"> </w:t>
      </w:r>
      <w:r>
        <w:t xml:space="preserve">-</w:t>
      </w:r>
      <w:r>
        <w:t xml:space="preserve"> </w:t>
      </w:r>
      <w:r>
        <w:t xml:space="preserve">Turkey</w:t>
      </w:r>
      <w:r>
        <w:t xml:space="preserve"> </w:t>
      </w:r>
      <w:r>
        <w:t xml:space="preserve">Istanbul</w:t>
      </w:r>
      <w:r>
        <w:t xml:space="preserve"> </w:t>
      </w:r>
      <w:r>
        <w:t xml:space="preserve">Market</w:t>
      </w:r>
    </w:p>
    <w:bookmarkStart w:id="30" w:name="X1155c52f7f12760b3c985d08afc31dd45d24ef9"/>
    <w:p>
      <w:pPr>
        <w:pStyle w:val="Heading1"/>
      </w:pPr>
      <w:r>
        <w:t xml:space="preserve">Sales Report: Comprehensive Auditor Performance Evaluation in Turkey Istanbul Market</w:t>
      </w:r>
    </w:p>
    <w:bookmarkStart w:id="20" w:name="executive-summary"/>
    <w:p>
      <w:pPr>
        <w:pStyle w:val="Heading2"/>
      </w:pPr>
      <w:r>
        <w:t xml:space="preserve">Executive Summary</w:t>
      </w:r>
    </w:p>
    <w:p>
      <w:pPr>
        <w:pStyle w:val="FirstParagraph"/>
      </w:pPr>
      <w:r>
        <w:t xml:space="preserve">This Sales Report provides an in-depth analysis of sales performance metrics and auditor effectiveness within the dynamic commercial landscape of Turkey Istanbul. As a critical economic hub serving 15 million residents and hosting over 6,000 multinational enterprises, Istanbul represents a strategic priority for our global sales operations. The integrated work of our dedicated Auditor team has been instrumental in driving measurable improvements across all sales functions. This report details key achievements, challenges encountered during Q3 2023-Q1 2024, and actionable recommendations tailored specifically to the Turkey Istanbul market context.</w:t>
      </w:r>
    </w:p>
    <w:bookmarkEnd w:id="20"/>
    <w:bookmarkStart w:id="21" w:name="Xa564be2baf6b20648145a1bc11d195b083c6b7b"/>
    <w:p>
      <w:pPr>
        <w:pStyle w:val="Heading2"/>
      </w:pPr>
      <w:r>
        <w:t xml:space="preserve">Market Context: Turkey Istanbul Sales Environment</w:t>
      </w:r>
    </w:p>
    <w:p>
      <w:pPr>
        <w:pStyle w:val="FirstParagraph"/>
      </w:pPr>
      <w:r>
        <w:t xml:space="preserve">Turkey Istanbul operates within a complex business ecosystem characterized by rapid digital transformation, stringent regulatory compliance requirements under Turkish Commercial Code (TCC), and evolving consumer preferences. As the nation's financial capital, Istanbul accounts for 40% of Turkey's total sales volume across our portfolio. The recent currency fluctuations (TRY/USD volatility of ±18% in 2023) and new tax regulations introduced by the Turkish Revenue Administration have created unique challenges demanding specialized attention from our Auditor function. This Sales Report specifically tracks how our Auditor team navigated these complexities to protect revenue integrity and optimize sales pipelines in Istanbul.</w:t>
      </w:r>
    </w:p>
    <w:bookmarkEnd w:id="21"/>
    <w:bookmarkStart w:id="22" w:name="X88740bcf1766b7087b8818eee6d7ecceea4d6d8"/>
    <w:p>
      <w:pPr>
        <w:pStyle w:val="Heading2"/>
      </w:pPr>
      <w:r>
        <w:t xml:space="preserve">Role of the Auditor in Sales Performance Optimization</w:t>
      </w:r>
    </w:p>
    <w:p>
      <w:pPr>
        <w:pStyle w:val="FirstParagraph"/>
      </w:pPr>
      <w:r>
        <w:t xml:space="preserve">The primary responsibility of our regional Auditor extends beyond traditional financial review – it encompasses strategic sales process governance. In Turkey Istanbul, the Auditor functions as a dual-purpose asset: ensuring compliance with both international standards (ISO 9001) and Turkish regulatory frameworks (MERSIS registration requirements). Key responsibilities include:</w:t>
      </w:r>
    </w:p>
    <w:p>
      <w:pPr>
        <w:numPr>
          <w:ilvl w:val="0"/>
          <w:numId w:val="1001"/>
        </w:numPr>
        <w:pStyle w:val="Compact"/>
      </w:pPr>
      <w:r>
        <w:t xml:space="preserve">Verifying sales transaction accuracy across 72+ Istanbul-based branch locations</w:t>
      </w:r>
    </w:p>
    <w:p>
      <w:pPr>
        <w:numPr>
          <w:ilvl w:val="0"/>
          <w:numId w:val="1001"/>
        </w:numPr>
        <w:pStyle w:val="Compact"/>
      </w:pPr>
      <w:r>
        <w:t xml:space="preserve">Conducting monthly compliance audits against Turkey's new E-Commerce Law (Law No. 6563)</w:t>
      </w:r>
    </w:p>
    <w:p>
      <w:pPr>
        <w:numPr>
          <w:ilvl w:val="0"/>
          <w:numId w:val="1001"/>
        </w:numPr>
        <w:pStyle w:val="Compact"/>
      </w:pPr>
      <w:r>
        <w:t xml:space="preserve">Identifying revenue leakage points in complex B2B contracts common in Istanbul's manufacturing sector</w:t>
      </w:r>
    </w:p>
    <w:p>
      <w:pPr>
        <w:numPr>
          <w:ilvl w:val="0"/>
          <w:numId w:val="1001"/>
        </w:numPr>
        <w:pStyle w:val="Compact"/>
      </w:pPr>
      <w:r>
        <w:t xml:space="preserve">Providing real-time sales analytics to regional management through our integrated CRM system</w:t>
      </w:r>
    </w:p>
    <w:p>
      <w:pPr>
        <w:pStyle w:val="FirstParagraph"/>
      </w:pPr>
      <w:r>
        <w:t xml:space="preserve">The Auditor's work directly impacts the credibility of our Sales Report submissions to headquarters, with 100% of Istanbul sales data now audited before quarterly reporting. This rigorous process has reduced discrepancies by 67% compared to Q2 2023.</w:t>
      </w:r>
    </w:p>
    <w:bookmarkEnd w:id="22"/>
    <w:bookmarkStart w:id="23" w:name="Xc7a097da64f387da05da784f1ed5d5e2376b845"/>
    <w:p>
      <w:pPr>
        <w:pStyle w:val="Heading2"/>
      </w:pPr>
      <w:r>
        <w:t xml:space="preserve">Key Performance Metrics: Turkey Istanbul Sales Report Analysis</w:t>
      </w:r>
    </w:p>
    <w:p>
      <w:pPr>
        <w:pStyle w:val="FirstParagraph"/>
      </w:pPr>
      <w:r>
        <w:t xml:space="preserve">Performance Indicator</w:t>
      </w:r>
    </w:p>
    <w:p>
      <w:pPr>
        <w:pStyle w:val="BodyText"/>
      </w:pPr>
      <w:r>
        <w:t xml:space="preserve">Q3 2023</w:t>
      </w:r>
    </w:p>
    <w:p>
      <w:pPr>
        <w:pStyle w:val="BodyText"/>
      </w:pPr>
      <w:r>
        <w:t xml:space="preserve">Q1 2024</w:t>
      </w:r>
    </w:p>
    <w:p>
      <w:pPr>
        <w:pStyle w:val="BodyText"/>
      </w:pPr>
      <w:r>
        <w:t xml:space="preserve">Change (%)</w:t>
      </w:r>
    </w:p>
    <w:p>
      <w:pPr>
        <w:pStyle w:val="BodyText"/>
      </w:pPr>
      <w:r>
        <w:t xml:space="preserve">Sales Revenue (USD)</w:t>
      </w:r>
    </w:p>
    <w:p>
      <w:pPr>
        <w:pStyle w:val="BodyText"/>
      </w:pPr>
      <w:r>
        <w:t xml:space="preserve">$18.7M</w:t>
      </w:r>
    </w:p>
    <w:p>
      <w:pPr>
        <w:pStyle w:val="BodyText"/>
      </w:pPr>
      <w:r>
        <w:t xml:space="preserve">$23.4M</w:t>
      </w:r>
    </w:p>
    <w:p>
      <w:pPr>
        <w:pStyle w:val="BodyText"/>
      </w:pPr>
      <w:r>
        <w:t xml:space="preserve">+25.1%</w:t>
      </w:r>
    </w:p>
    <w:p>
      <w:pPr>
        <w:pStyle w:val="BodyText"/>
      </w:pPr>
      <w:r>
        <w:t xml:space="preserve">Contract Compliance Rate</w:t>
      </w:r>
    </w:p>
    <w:p>
      <w:pPr>
        <w:pStyle w:val="BodyText"/>
      </w:pPr>
      <w:r>
        <w:t xml:space="preserve">76%</w:t>
      </w:r>
    </w:p>
    <w:p>
      <w:pPr>
        <w:pStyle w:val="BodyText"/>
      </w:pPr>
      <w:r>
        <w:t xml:space="preserve">%</w:t>
      </w:r>
    </w:p>
    <w:p>
      <w:pPr>
        <w:pStyle w:val="BodyText"/>
      </w:pPr>
      <w:r>
        <w:t xml:space="preserve">The positive revenue trajectory (25.1% increase) is directly attributable to the Auditor's intervention in high-risk sales segments. In Istanbul's automotive supply chain vertical, our Auditor identified 34 non-compliant contracts worth $2.1M that were at risk of tax penalties under Turkish VAT regulations (Law No. 640). Corrective actions implemented by the auditor team prevented potential revenue leakage while ensuring full adherence to Turkey's Tax Procedure Law.</w:t>
      </w:r>
    </w:p>
    <w:bookmarkEnd w:id="23"/>
    <w:bookmarkStart w:id="27" w:name="X5468c7d2062527a289c4933ef4aa205513f82b6"/>
    <w:p>
      <w:pPr>
        <w:pStyle w:val="Heading2"/>
      </w:pPr>
      <w:r>
        <w:t xml:space="preserve">Critical Challenges Addressed by the Auditor in Istanbul</w:t>
      </w:r>
    </w:p>
    <w:p>
      <w:pPr>
        <w:pStyle w:val="FirstParagraph"/>
      </w:pPr>
      <w:r>
        <w:t xml:space="preserve">Our Auditor team recently resolved three major challenges specific to Turkey Istanbul's commercial environment:</w:t>
      </w:r>
    </w:p>
    <w:bookmarkStart w:id="24" w:name="currency-risk-mismanagement"/>
    <w:p>
      <w:pPr>
        <w:pStyle w:val="Heading3"/>
      </w:pPr>
      <w:r>
        <w:t xml:space="preserve">1. Currency Risk Mismanagement</w:t>
      </w:r>
    </w:p>
    <w:p>
      <w:pPr>
        <w:pStyle w:val="FirstParagraph"/>
      </w:pPr>
      <w:r>
        <w:t xml:space="preserve">In Q3 2023, our sales team inadvertently used outdated exchange rates for contracts in Turkish Lira (TRY), creating $890K in unrecorded revenue exposure. The Istanbul-based Auditor implemented a real-time FX rate integration with the Central Bank of Turkey's API, reducing currency-related errors by 92%.</w:t>
      </w:r>
    </w:p>
    <w:bookmarkEnd w:id="24"/>
    <w:bookmarkStart w:id="25" w:name="regulatory-non-compliance"/>
    <w:p>
      <w:pPr>
        <w:pStyle w:val="Heading3"/>
      </w:pPr>
      <w:r>
        <w:t xml:space="preserve">2. Regulatory Non-Compliance</w:t>
      </w:r>
    </w:p>
    <w:p>
      <w:pPr>
        <w:pStyle w:val="FirstParagraph"/>
      </w:pPr>
      <w:r>
        <w:t xml:space="preserve">Audit discovered 12 branches in Istanbul operating without mandatory electronic invoicing (e-Fatura) compliance under Turkish regulation. The Auditor developed a targeted training module that achieved 100% e-Fatura compliance across all locations within 60 days, preventing potential €54K in fines from the Ministry of Customs and Trade.</w:t>
      </w:r>
    </w:p>
    <w:bookmarkEnd w:id="25"/>
    <w:bookmarkStart w:id="26" w:name="sales-process-inefficiencies"/>
    <w:p>
      <w:pPr>
        <w:pStyle w:val="Heading3"/>
      </w:pPr>
      <w:r>
        <w:t xml:space="preserve">3. Sales Process Inefficiencies</w:t>
      </w:r>
    </w:p>
    <w:p>
      <w:pPr>
        <w:pStyle w:val="FirstParagraph"/>
      </w:pPr>
      <w:r>
        <w:t xml:space="preserve">The Auditor identified a 17-day average sales cycle delay due to manual credit verification processes. By implementing an automated credit scoring tool integrated with Turkey's Central Credit Registry (KKB), the sales cycle reduced to 12 days while improving customer acquisition costs by 23%.</w:t>
      </w:r>
    </w:p>
    <w:bookmarkEnd w:id="26"/>
    <w:bookmarkEnd w:id="27"/>
    <w:bookmarkStart w:id="28" w:name="X09e8ac66c25c185756eb468d97a184e1a2a583e"/>
    <w:p>
      <w:pPr>
        <w:pStyle w:val="Heading2"/>
      </w:pPr>
      <w:r>
        <w:t xml:space="preserve">Strategic Recommendations for Turkey Istanbul Market</w:t>
      </w:r>
    </w:p>
    <w:p>
      <w:pPr>
        <w:pStyle w:val="FirstParagraph"/>
      </w:pPr>
      <w:r>
        <w:t xml:space="preserve">Based on this Sales Report analysis, we recommend three priority actions to maximize growth in Istanbul:</w:t>
      </w:r>
    </w:p>
    <w:p>
      <w:pPr>
        <w:numPr>
          <w:ilvl w:val="0"/>
          <w:numId w:val="1002"/>
        </w:numPr>
        <w:pStyle w:val="Compact"/>
      </w:pPr>
      <w:r>
        <w:rPr>
          <w:bCs/>
          <w:b/>
        </w:rPr>
        <w:t xml:space="preserve">Audit-Driven Digital Transformation:</w:t>
      </w:r>
      <w:r>
        <w:t xml:space="preserve"> </w:t>
      </w:r>
      <w:r>
        <w:t xml:space="preserve">Allocate $150K for AI-powered sales analytics tools specifically trained on Turkish market data patterns, directly enhancing the Auditor's predictive capabilities for Istanbul's volatile economy.</w:t>
      </w:r>
    </w:p>
    <w:p>
      <w:pPr>
        <w:numPr>
          <w:ilvl w:val="0"/>
          <w:numId w:val="1002"/>
        </w:numPr>
        <w:pStyle w:val="Compact"/>
      </w:pPr>
      <w:r>
        <w:rPr>
          <w:bCs/>
          <w:b/>
        </w:rPr>
        <w:t xml:space="preserve">Regulatory Task Force:</w:t>
      </w:r>
      <w:r>
        <w:t xml:space="preserve"> </w:t>
      </w:r>
      <w:r>
        <w:t xml:space="preserve">Establish a permanent Turkey Istanbul Regulatory Compliance Unit under the Auditor function to monitor upcoming legislation changes from Ministry of Trade and Central Bank of Turkey.</w:t>
      </w:r>
    </w:p>
    <w:p>
      <w:pPr>
        <w:numPr>
          <w:ilvl w:val="0"/>
          <w:numId w:val="1002"/>
        </w:numPr>
        <w:pStyle w:val="Compact"/>
      </w:pPr>
      <w:r>
        <w:rPr>
          <w:bCs/>
          <w:b/>
        </w:rPr>
        <w:t xml:space="preserve">Sales-Audit Partnership Program:</w:t>
      </w:r>
      <w:r>
        <w:t xml:space="preserve"> </w:t>
      </w:r>
      <w:r>
        <w:t xml:space="preserve">Implement bi-weekly joint sessions between sales teams and the Auditor in Istanbul to align on market-specific opportunities, reducing process friction by 35% as projected in our pilot program.</w:t>
      </w:r>
    </w:p>
    <w:bookmarkEnd w:id="28"/>
    <w:bookmarkStart w:id="29" w:name="conclusion"/>
    <w:p>
      <w:pPr>
        <w:pStyle w:val="Heading2"/>
      </w:pPr>
      <w:r>
        <w:t xml:space="preserve">Conclusion</w:t>
      </w:r>
    </w:p>
    <w:p>
      <w:pPr>
        <w:pStyle w:val="FirstParagraph"/>
      </w:pPr>
      <w:r>
        <w:t xml:space="preserve">This comprehensive Sales Report demonstrates that the Auditor function has evolved from a compliance checkpoint into a strategic growth engine for our operations in Turkey Istanbul. The data clearly shows that rigorous audit protocols have directly contributed to the 25.1% revenue increase and 37% reduction in sales-related disputes within Istanbul's marketplace. As Turkey continues its economic stabilization efforts under President Erdoğan's new monetary policies, the Auditor team remains essential for safeguarding our sales integrity while capitalizing on Istanbul's position as a bridge between Europe and Asia.</w:t>
      </w:r>
    </w:p>
    <w:p>
      <w:pPr>
        <w:pStyle w:val="BodyText"/>
      </w:pPr>
      <w:r>
        <w:t xml:space="preserve">Going forward, we must institutionalize the Auditor-led approach across all Turkish markets. The success in Istanbul proves that targeted audit interventions – particularly those understanding Turkey's unique regulatory landscape – deliver exceptional returns. This Sales Report serves as both a testament to our current achievements and a roadmap for further market leadership in one of the world's most promising emerging economies.</w:t>
      </w:r>
    </w:p>
    <w:p>
      <w:pPr>
        <w:pStyle w:val="BodyText"/>
      </w:pPr>
      <w:r>
        <w:rPr>
          <w:bCs/>
          <w:b/>
        </w:rPr>
        <w:t xml:space="preserve">Prepared by:</w:t>
      </w:r>
      <w:r>
        <w:t xml:space="preserve"> </w:t>
      </w:r>
      <w:r>
        <w:t xml:space="preserve">Global Sales Intelligence Team</w:t>
      </w:r>
      <w:r>
        <w:br/>
      </w:r>
      <w:r>
        <w:rPr>
          <w:bCs/>
          <w:b/>
        </w:rPr>
        <w:t xml:space="preserve">Report Date:</w:t>
      </w:r>
      <w:r>
        <w:t xml:space="preserve"> </w:t>
      </w:r>
      <w:r>
        <w:t xml:space="preserve">February 28, 2024</w:t>
      </w:r>
      <w:r>
        <w:br/>
      </w:r>
      <w:r>
        <w:rPr>
          <w:bCs/>
          <w:b/>
        </w:rPr>
        <w:t xml:space="preserve">Regional Focus:</w:t>
      </w:r>
      <w:r>
        <w:t xml:space="preserve"> </w:t>
      </w:r>
      <w:r>
        <w:t xml:space="preserve">Turkey Istanbul Sales Operations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Analysis - Turkey Istanbul Market</dc:title>
  <dc:creator/>
  <dc:language>en</dc:language>
  <cp:keywords/>
  <dcterms:created xsi:type="dcterms:W3CDTF">2026-07-23T10:31:42Z</dcterms:created>
  <dcterms:modified xsi:type="dcterms:W3CDTF">2026-07-23T10:31:42Z</dcterms:modified>
</cp:coreProperties>
</file>

<file path=docProps/custom.xml><?xml version="1.0" encoding="utf-8"?>
<Properties xmlns="http://schemas.openxmlformats.org/officeDocument/2006/custom-properties" xmlns:vt="http://schemas.openxmlformats.org/officeDocument/2006/docPropsVTypes"/>
</file>