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Audit</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Operations</w:t>
      </w:r>
    </w:p>
    <w:bookmarkStart w:id="31" w:name="X09b62f20be8cc113bce7b4d9f78eb6570ee7920"/>
    <w:p>
      <w:pPr>
        <w:pStyle w:val="Heading1"/>
      </w:pPr>
      <w:r>
        <w:t xml:space="preserve">Sales Report: Comprehensive Financial and Operational Audit for United Arab Emirates Abu Dhabi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Abu Dhabi Headquarters</w:t>
      </w:r>
      <w:r>
        <w:br/>
      </w:r>
      <w:r>
        <w:rPr>
          <w:bCs/>
          <w:b/>
        </w:rPr>
        <w:t xml:space="preserve">Prepared By:</w:t>
      </w:r>
      <w:r>
        <w:t xml:space="preserve"> </w:t>
      </w:r>
      <w:r>
        <w:t xml:space="preserve">Senior Auditor, International Compliance Division</w:t>
      </w:r>
      <w:r>
        <w:br/>
      </w:r>
      <w:r>
        <w:rPr>
          <w:bCs/>
          <w:b/>
        </w:rPr>
        <w:t xml:space="preserve">Report Reference:</w:t>
      </w:r>
      <w:r>
        <w:t xml:space="preserve"> </w:t>
      </w:r>
      <w:r>
        <w:t xml:space="preserve">AUD-AR-AD-2023-SALES</w:t>
      </w:r>
    </w:p>
    <w:bookmarkStart w:id="20" w:name="i.-executive-summary"/>
    <w:p>
      <w:pPr>
        <w:pStyle w:val="Heading2"/>
      </w:pPr>
      <w:r>
        <w:t xml:space="preserve">I. Executive Summary</w:t>
      </w:r>
    </w:p>
    <w:p>
      <w:pPr>
        <w:pStyle w:val="FirstParagraph"/>
      </w:pPr>
      <w:r>
        <w:t xml:space="preserve">This Sales Report presents the findings of an independent financial and operational audit conducted by our certified Auditor across all sales channels within the United Arab Emirates Abu Dhabi market during Q1-Q3 2023. The audit scope encompassed revenue recognition, sales contract compliance, tax adherence (VAT/Withholding Tax), and alignment with UAE Federal Law No. 5 of 2018 on Commercial Companies. The Auditor's comprehensive review confirms that Abu Dhabi operations maintain robust financial controls while identifying critical improvement areas to enhance market competitiveness in the United Arab Emirates Abu Dhabi landscape. This report serves as a strategic roadmap for optimizing sales performance while ensuring full regulatory compliance within the UAE's evolving commercial environment.</w:t>
      </w:r>
    </w:p>
    <w:bookmarkEnd w:id="20"/>
    <w:bookmarkStart w:id="21" w:name="ii.-audit-context-significance"/>
    <w:p>
      <w:pPr>
        <w:pStyle w:val="Heading2"/>
      </w:pPr>
      <w:r>
        <w:t xml:space="preserve">II. Audit Context &amp; Significance</w:t>
      </w:r>
    </w:p>
    <w:p>
      <w:pPr>
        <w:pStyle w:val="FirstParagraph"/>
      </w:pPr>
      <w:r>
        <w:t xml:space="preserve">The United Arab Emirates Abu Dhabi market represents a pivotal revenue driver for our regional operations, contributing 34% of total GCC sales volume in 2023. As part of our mandatory annual compliance cycle under the Abu Dhabi Department of Economic Development (ADDED) regulations, this Sales Report was commissioned by the Board of Directors to address growing market complexities. The Auditor's role transcends traditional financial verification—it serves as a strategic business partner ensuring our sales practices align with UAE commercial laws while maximizing ethical revenue generation. This document is not merely an accounting exercise but a critical business intelligence tool for Abu Dhabi's leadership team navigating the dynamic economic climate of the United Arab Emirates.</w:t>
      </w:r>
    </w:p>
    <w:bookmarkEnd w:id="21"/>
    <w:bookmarkStart w:id="22" w:name="iii.-audit-methodology-scope"/>
    <w:p>
      <w:pPr>
        <w:pStyle w:val="Heading2"/>
      </w:pPr>
      <w:r>
        <w:t xml:space="preserve">III. Audit Methodology &amp; Scope</w:t>
      </w:r>
    </w:p>
    <w:p>
      <w:pPr>
        <w:pStyle w:val="FirstParagraph"/>
      </w:pPr>
      <w:r>
        <w:t xml:space="preserve">The Auditor employed a three-tiered approach validated by International Standards on Auditing (ISA) and UAE Central Bank guidelines:</w:t>
      </w:r>
    </w:p>
    <w:p>
      <w:pPr>
        <w:numPr>
          <w:ilvl w:val="0"/>
          <w:numId w:val="1001"/>
        </w:numPr>
        <w:pStyle w:val="Compact"/>
      </w:pPr>
      <w:r>
        <w:rPr>
          <w:bCs/>
          <w:b/>
        </w:rPr>
        <w:t xml:space="preserve">Documentary Review:</w:t>
      </w:r>
      <w:r>
        <w:t xml:space="preserve"> </w:t>
      </w:r>
      <w:r>
        <w:t xml:space="preserve">Examination of 1,247 sales contracts, VAT filings (386 returns), and commission structures across all Abu Dhabi branches</w:t>
      </w:r>
    </w:p>
    <w:p>
      <w:pPr>
        <w:numPr>
          <w:ilvl w:val="0"/>
          <w:numId w:val="1001"/>
        </w:numPr>
        <w:pStyle w:val="Compact"/>
      </w:pPr>
      <w:r>
        <w:rPr>
          <w:bCs/>
          <w:b/>
        </w:rPr>
        <w:t xml:space="preserve">Data Analytics:</w:t>
      </w:r>
      <w:r>
        <w:t xml:space="preserve"> </w:t>
      </w:r>
      <w:r>
        <w:t xml:space="preserve">Systematic analysis of CRM data from Oracle Cloud using UAE-specific tax code algorithms</w:t>
      </w:r>
    </w:p>
    <w:p>
      <w:pPr>
        <w:numPr>
          <w:ilvl w:val="0"/>
          <w:numId w:val="1001"/>
        </w:numPr>
        <w:pStyle w:val="Compact"/>
      </w:pPr>
      <w:r>
        <w:rPr>
          <w:bCs/>
          <w:b/>
        </w:rPr>
        <w:t xml:space="preserve">Field Verification:</w:t>
      </w:r>
      <w:r>
        <w:t xml:space="preserve"> </w:t>
      </w:r>
      <w:r>
        <w:t xml:space="preserve">Unannounced site visits to 15 key sales locations including Al Reem Island, Khalifa City, and Abu Dhabi International Airport zones</w:t>
      </w:r>
    </w:p>
    <w:p>
      <w:pPr>
        <w:pStyle w:val="FirstParagraph"/>
      </w:pPr>
      <w:r>
        <w:t xml:space="preserve">All activities strictly complied with Federal Law No. (6) of 2018 regarding data privacy in the United Arab Emirates Abu Dhabi. The Auditor maintained complete independence from sales teams per ADDED's "Audit Integrity Framework."</w:t>
      </w:r>
    </w:p>
    <w:bookmarkEnd w:id="22"/>
    <w:bookmarkStart w:id="23" w:name="X8c23d3abddc4b9c5f13c89d01bda78ffd1d1948"/>
    <w:p>
      <w:pPr>
        <w:pStyle w:val="Heading2"/>
      </w:pPr>
      <w:r>
        <w:t xml:space="preserve">IV. Key Sales Performance Indicators (Q1-Q3 2023)</w:t>
      </w:r>
    </w:p>
    <w:p>
      <w:pPr>
        <w:pStyle w:val="FirstParagraph"/>
      </w:pPr>
      <w:r>
        <w:t xml:space="preserve">KPI</w:t>
      </w:r>
    </w:p>
    <w:p>
      <w:pPr>
        <w:pStyle w:val="BodyText"/>
      </w:pPr>
      <w:r>
        <w:t xml:space="preserve">Actual Result</w:t>
      </w:r>
    </w:p>
    <w:p>
      <w:pPr>
        <w:pStyle w:val="BodyText"/>
      </w:pPr>
      <w:r>
        <w:t xml:space="preserve">Target</w:t>
      </w:r>
    </w:p>
    <w:p>
      <w:pPr>
        <w:pStyle w:val="BodyText"/>
      </w:pPr>
      <w:r>
        <w:t xml:space="preserve">Deviation</w:t>
      </w:r>
    </w:p>
    <w:p>
      <w:pPr>
        <w:pStyle w:val="BodyText"/>
      </w:pPr>
      <w:r>
        <w:t xml:space="preserve">Total Sales Revenue (AED)</w:t>
      </w:r>
    </w:p>
    <w:p>
      <w:pPr>
        <w:pStyle w:val="BodyText"/>
      </w:pPr>
      <w:r>
        <w:t xml:space="preserve">184,250,000</w:t>
      </w:r>
    </w:p>
    <w:p>
      <w:pPr>
        <w:pStyle w:val="BodyText"/>
      </w:pPr>
      <w:r>
        <w:t xml:space="preserve">178,500,000</w:t>
      </w:r>
    </w:p>
    <w:p>
      <w:pPr>
        <w:pStyle w:val="BodyText"/>
      </w:pPr>
      <w:r>
        <w:t xml:space="preserve">+3.2%</w:t>
      </w:r>
    </w:p>
    <w:p>
      <w:pPr>
        <w:pStyle w:val="BodyText"/>
      </w:pPr>
      <w:r>
        <w:t xml:space="preserve">VAT Compliance Rate</w:t>
      </w:r>
    </w:p>
    <w:p>
      <w:pPr>
        <w:pStyle w:val="BodyText"/>
      </w:pPr>
      <w:r>
        <w:t xml:space="preserve">99.6%</w:t>
      </w:r>
    </w:p>
    <w:p>
      <w:pPr>
        <w:pStyle w:val="BodyText"/>
      </w:pPr>
      <w:r>
        <w:t xml:space="preserve">1st Quartile</w:t>
      </w:r>
    </w:p>
    <w:p>
      <w:pPr>
        <w:pStyle w:val="BodyText"/>
      </w:pPr>
      <w:r>
        <w:t xml:space="preserve">Contract Validity (Compliance)</w:t>
      </w:r>
    </w:p>
    <w:p>
      <w:pPr>
        <w:pStyle w:val="BodyText"/>
      </w:pPr>
      <w:r>
        <w:t xml:space="preserve">98.4%</w:t>
      </w:r>
    </w:p>
    <w:p>
      <w:pPr>
        <w:pStyle w:val="BodyText"/>
      </w:pPr>
      <w:r>
        <w:t xml:space="preserve">Commission Accuracy</w:t>
      </w:r>
    </w:p>
    <w:p>
      <w:pPr>
        <w:pStyle w:val="BodyText"/>
      </w:pPr>
      <w:r>
        <w:t xml:space="preserve">&lt;</w:t>
      </w:r>
    </w:p>
    <w:p>
      <w:pPr>
        <w:pStyle w:val="BodyText"/>
      </w:pPr>
      <w:r>
        <w:t xml:space="preserve">97.1%</w:t>
      </w:r>
    </w:p>
    <w:p>
      <w:pPr>
        <w:pStyle w:val="BodyText"/>
      </w:pPr>
      <w:r>
        <w:t xml:space="preserve">Customer Dispute Resolution Time</w:t>
      </w:r>
    </w:p>
    <w:p>
      <w:pPr>
        <w:pStyle w:val="BodyText"/>
      </w:pPr>
      <w:r>
        <w:t xml:space="preserve">4.2 days</w:t>
      </w:r>
    </w:p>
    <w:p>
      <w:pPr>
        <w:pStyle w:val="BodyText"/>
      </w:pPr>
      <w:r>
        <w:t xml:space="preserve">Benchmark: 5+ days (GCC Avg.)</w:t>
      </w:r>
    </w:p>
    <w:p>
      <w:pPr>
        <w:pStyle w:val="BodyText"/>
      </w:pPr>
      <w:r>
        <w:t xml:space="preserve">Sales Cycle Efficiency</w:t>
      </w:r>
    </w:p>
    <w:p>
      <w:pPr>
        <w:pStyle w:val="BodyText"/>
      </w:pPr>
      <w:r>
        <w:t xml:space="preserve">28.7 days</w:t>
      </w:r>
    </w:p>
    <w:p>
      <w:pPr>
        <w:pStyle w:val="BodyText"/>
      </w:pPr>
      <w:r>
        <w:t xml:space="preserve">The Sales Report reveals strong performance in revenue generation and tax compliance, with particular excellence in dispute resolution exceeding regional benchmarks. However, the Auditor identified significant opportunities in commission accuracy and contract documentation that directly impact Abu Dhabi's reputation within the United Arab Emirates business ecosystem.</w:t>
      </w:r>
    </w:p>
    <w:bookmarkEnd w:id="23"/>
    <w:bookmarkStart w:id="27" w:name="X160c2c4d662115fa21becb38a79c8a98559ae28"/>
    <w:p>
      <w:pPr>
        <w:pStyle w:val="Heading2"/>
      </w:pPr>
      <w:r>
        <w:t xml:space="preserve">V. Critical Findings: UAE-Specific Compliance Insights</w:t>
      </w:r>
    </w:p>
    <w:p>
      <w:pPr>
        <w:pStyle w:val="FirstParagraph"/>
      </w:pPr>
      <w:r>
        <w:t xml:space="preserve">Based on rigorous examination of Abu Dhabi operations, the Auditor highlights three pivotal findings requiring immediate attention:</w:t>
      </w:r>
    </w:p>
    <w:bookmarkStart w:id="24" w:name="X2c5e5c92f4e5490e94f1de9ffef97ca01d24fad"/>
    <w:p>
      <w:pPr>
        <w:pStyle w:val="Heading3"/>
      </w:pPr>
      <w:r>
        <w:t xml:space="preserve">A. VAT Documentation Gaps in High-Value Contracts (Exceeding AED 500K)</w:t>
      </w:r>
    </w:p>
    <w:p>
      <w:pPr>
        <w:pStyle w:val="FirstParagraph"/>
      </w:pPr>
      <w:r>
        <w:t xml:space="preserve">The Auditor observed that 14.7% of high-value contracts lacked full VAT registration numbers per Federal Tax Authority Notice No. (2) of 2021. This non-compliance exposes the company to potential penalties under UAE Commercial Law Article 18, which mandates strict documentation for transactions above AED 500K in Abu Dhabi markets.</w:t>
      </w:r>
    </w:p>
    <w:bookmarkEnd w:id="24"/>
    <w:bookmarkStart w:id="25" w:name="Xff3640ff09cccab2c7293a7731799b220934813"/>
    <w:p>
      <w:pPr>
        <w:pStyle w:val="Heading3"/>
      </w:pPr>
      <w:r>
        <w:t xml:space="preserve">B. Commission Calculation Errors in E-commerce Division</w:t>
      </w:r>
    </w:p>
    <w:p>
      <w:pPr>
        <w:pStyle w:val="FirstParagraph"/>
      </w:pPr>
      <w:r>
        <w:t xml:space="preserve">Systematic errors were found in the automated commission engine affecting 22% of online sales. The Auditor determined that non-adjustment of commission rates for Abu Dhabi-specific promotional periods (e.g., Dubai Shopping Festival) resulted in AED 1,470,000 overpayment to sales staff. This contravenes UAE Federal Labour Law Article 94 requiring accurate compensation calculation.</w:t>
      </w:r>
    </w:p>
    <w:bookmarkEnd w:id="25"/>
    <w:bookmarkStart w:id="26" w:name="c.-inconsistent-sales-contract-templates"/>
    <w:p>
      <w:pPr>
        <w:pStyle w:val="Heading3"/>
      </w:pPr>
      <w:r>
        <w:t xml:space="preserve">C. Inconsistent Sales Contract Templates</w:t>
      </w:r>
    </w:p>
    <w:p>
      <w:pPr>
        <w:pStyle w:val="FirstParagraph"/>
      </w:pPr>
      <w:r>
        <w:t xml:space="preserve">The Auditor identified seven distinct contract formats across Abu Dhabi branches, violating ADDED's "Standardized Commercial Documentation" requirement effective January 2023. This inconsistency creates legal vulnerability during disputes and hinders the company's ability to maintain a unified brand presence in United Arab Emirates Abu Dhabi.</w:t>
      </w:r>
    </w:p>
    <w:bookmarkEnd w:id="26"/>
    <w:bookmarkEnd w:id="27"/>
    <w:bookmarkStart w:id="28" w:name="vi.-strategic-recommendations"/>
    <w:p>
      <w:pPr>
        <w:pStyle w:val="Heading2"/>
      </w:pPr>
      <w:r>
        <w:t xml:space="preserve">VI. Strategic Recommendations</w:t>
      </w:r>
    </w:p>
    <w:p>
      <w:pPr>
        <w:pStyle w:val="FirstParagraph"/>
      </w:pPr>
      <w:r>
        <w:t xml:space="preserve">As the certified Auditor, we recommend three actionable measures to strengthen sales operations within Abu Dhabi while ensuring full UAE regulatory alignment:</w:t>
      </w:r>
    </w:p>
    <w:p>
      <w:pPr>
        <w:numPr>
          <w:ilvl w:val="0"/>
          <w:numId w:val="1002"/>
        </w:numPr>
        <w:pStyle w:val="Compact"/>
      </w:pPr>
      <w:r>
        <w:rPr>
          <w:bCs/>
          <w:b/>
        </w:rPr>
        <w:t xml:space="preserve">Implement Unified Contract Management System:</w:t>
      </w:r>
      <w:r>
        <w:t xml:space="preserve"> </w:t>
      </w:r>
      <w:r>
        <w:t xml:space="preserve">Deploy a centralized digital platform compliant with ADDED's 2023 Commercial Documentation Standard by Q1 2024. This will eliminate format discrepancies and reduce contract processing time by 65%.</w:t>
      </w:r>
    </w:p>
    <w:p>
      <w:pPr>
        <w:numPr>
          <w:ilvl w:val="0"/>
          <w:numId w:val="1002"/>
        </w:numPr>
        <w:pStyle w:val="Compact"/>
      </w:pPr>
      <w:r>
        <w:rPr>
          <w:bCs/>
          <w:b/>
        </w:rPr>
        <w:t xml:space="preserve">Revise Commission Algorithm for UAE Market Dynamics:</w:t>
      </w:r>
      <w:r>
        <w:t xml:space="preserve"> </w:t>
      </w:r>
      <w:r>
        <w:t xml:space="preserve">Integrate dynamic rate adjustments for Abu Dhabi-specific events (e.g., Abu Dhabi International Book Fair, Formula 1 Grand Prix) into the sales system. The Auditor estimates this will recover AED 2.1M annually in commission expenses.</w:t>
      </w:r>
    </w:p>
    <w:p>
      <w:pPr>
        <w:numPr>
          <w:ilvl w:val="0"/>
          <w:numId w:val="1002"/>
        </w:numPr>
        <w:pStyle w:val="Compact"/>
      </w:pPr>
      <w:r>
        <w:rPr>
          <w:bCs/>
          <w:b/>
        </w:rPr>
        <w:t xml:space="preserve">Establish Dedicated VAT Compliance Unit:</w:t>
      </w:r>
      <w:r>
        <w:t xml:space="preserve"> </w:t>
      </w:r>
      <w:r>
        <w:t xml:space="preserve">Create a specialized team of two UAE-certified tax professionals within the Abu Dhabi office to handle VAT filings per Federal Tax Authority requirements, reducing compliance risk by 90%.</w:t>
      </w:r>
    </w:p>
    <w:bookmarkEnd w:id="28"/>
    <w:bookmarkStart w:id="30" w:name="X481d5c0d97cc4198f3b6f56211460bd9aa6ae32"/>
    <w:p>
      <w:pPr>
        <w:pStyle w:val="Heading2"/>
      </w:pPr>
      <w:r>
        <w:t xml:space="preserve">VII. Conclusion: The Auditor's Strategic Perspective</w:t>
      </w:r>
    </w:p>
    <w:p>
      <w:pPr>
        <w:pStyle w:val="FirstParagraph"/>
      </w:pPr>
      <w:r>
        <w:t xml:space="preserve">This Sales Report underscores that while United Arab Emirates Abu Dhabi operations demonstrate strong revenue performance, their sustainability hinges on proactive regulatory adaptation. The Auditor's findings are not merely compliance issues—they represent strategic growth opportunities within the UAE market. By implementing these recommendations, our Abu Dhabi sales force will achieve 30% faster transaction processing while positioning us as a model for ethical commercial practice in the United Arab Emirates Abu Dhabi business community.</w:t>
      </w:r>
    </w:p>
    <w:p>
      <w:pPr>
        <w:pStyle w:val="BodyText"/>
      </w:pPr>
      <w:r>
        <w:t xml:space="preserve">As emphasized in the Auditor's final assessment: "In today's UAE market, where regulatory agility directly impacts market share, this Sales Report must transition from an annual compliance document to a living strategic asset. Our recommendations represent not just risk mitigation but competitive advantage development for Abu Dhabi operations."</w:t>
      </w:r>
    </w:p>
    <w:p>
      <w:pPr>
        <w:pStyle w:val="BodyText"/>
      </w:pPr>
      <w:r>
        <w:t xml:space="preserve">The Auditor remains available for follow-up sessions with Abu Dhabi management to refine implementation timelines within the context of UAE's 2023 Commercial Law amendments. All findings are documented in full accordance with the United Arab Emirates Ministry of Economy's Audit Reporting Standards.</w:t>
      </w:r>
    </w:p>
    <w:bookmarkStart w:id="29" w:name="end-of-sales-report"/>
    <w:p>
      <w:pPr>
        <w:pStyle w:val="Heading3"/>
      </w:pPr>
      <w:r>
        <w:t xml:space="preserve">END OF SALES REPORT</w:t>
      </w:r>
    </w:p>
    <w:p>
      <w:pPr>
        <w:pStyle w:val="FirstParagraph"/>
      </w:pPr>
      <w:r>
        <w:rPr>
          <w:iCs/>
          <w:i/>
        </w:rPr>
        <w:t xml:space="preserve">Prepared by: Ahmed Al-Mansoori, Certified Auditor (CIA, UAE Reg. #AUD-0782)</w:t>
      </w:r>
      <w:r>
        <w:br/>
      </w:r>
      <w:r>
        <w:rPr>
          <w:iCs/>
          <w:i/>
        </w:rPr>
        <w:t xml:space="preserve">Approved By: Board of Directors, United Arab Emirates Abu Dhabi Operations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Audit Report - Abu Dhabi Operations</dc:title>
  <dc:creator/>
  <dc:language>en</dc:language>
  <cp:keywords/>
  <dcterms:created xsi:type="dcterms:W3CDTF">2026-07-23T16:51:17Z</dcterms:created>
  <dcterms:modified xsi:type="dcterms:W3CDTF">2026-07-23T16:51:17Z</dcterms:modified>
</cp:coreProperties>
</file>

<file path=docProps/custom.xml><?xml version="1.0" encoding="utf-8"?>
<Properties xmlns="http://schemas.openxmlformats.org/officeDocument/2006/custom-properties" xmlns:vt="http://schemas.openxmlformats.org/officeDocument/2006/docPropsVTypes"/>
</file>