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&amp;</w:t>
      </w:r>
      <w:r>
        <w:t xml:space="preserve"> </w:t>
      </w:r>
      <w:r>
        <w:t xml:space="preserve">Compliance</w:t>
      </w:r>
      <w:r>
        <w:t xml:space="preserve"> </w:t>
      </w:r>
      <w:r>
        <w:t xml:space="preserve">Analysis</w:t>
      </w:r>
      <w:r>
        <w:t xml:space="preserve"> </w:t>
      </w:r>
      <w:r>
        <w:t xml:space="preserve">-</w:t>
      </w:r>
      <w:r>
        <w:t xml:space="preserve"> </w:t>
      </w:r>
      <w:r>
        <w:t xml:space="preserve">Dubai,</w:t>
      </w:r>
      <w:r>
        <w:t xml:space="preserve"> </w:t>
      </w:r>
      <w:r>
        <w:t xml:space="preserve">UAE</w:t>
      </w:r>
    </w:p>
    <w:bookmarkStart w:id="27" w:name="Xaaaf7d600c130fd8e35793615881c0f50841e8a"/>
    <w:p>
      <w:pPr>
        <w:pStyle w:val="Heading1"/>
      </w:pPr>
      <w:r>
        <w:t xml:space="preserve">Comprehensive Sales Report: Auditor Performance and Financial Compliance Analysis for United Arab Emirates Dubai Market</w:t>
      </w:r>
    </w:p>
    <w:bookmarkStart w:id="20" w:name="executive-summary"/>
    <w:p>
      <w:pPr>
        <w:pStyle w:val="Heading2"/>
      </w:pPr>
      <w:r>
        <w:t xml:space="preserve">Executive Summary</w:t>
      </w:r>
    </w:p>
    <w:p>
      <w:pPr>
        <w:pStyle w:val="FirstParagraph"/>
      </w:pPr>
      <w:r>
        <w:t xml:space="preserve">This Sales Report presents a detailed analysis of sales operations audited by our specialized internal Auditor team across the United Arab Emirates Dubai business landscape. Covering the period from July to September 2023, this report underscores the critical role of professional auditing in ensuring financial integrity, regulatory compliance, and strategic growth within Dubai's dynamic commercial ecosystem. As a cornerstone of corporate governance in the United Arab Emirates Dubai market, our Auditor's meticulous examination has identified key opportunities for sales optimization while reinforcing adherence to UAE federal laws and Dubai Economic Department (DED) regulations.</w:t>
      </w:r>
    </w:p>
    <w:bookmarkEnd w:id="20"/>
    <w:bookmarkStart w:id="21" w:name="Xb121a747ad1f302e14dd0da6849f62c167e16b5"/>
    <w:p>
      <w:pPr>
        <w:pStyle w:val="Heading2"/>
      </w:pPr>
      <w:r>
        <w:t xml:space="preserve">Market Context: Sales Environment in Dubai</w:t>
      </w:r>
    </w:p>
    <w:p>
      <w:pPr>
        <w:pStyle w:val="FirstParagraph"/>
      </w:pPr>
      <w:r>
        <w:t xml:space="preserve">Dubai serves as a global commercial nexus within the United Arab Emirates, hosting over 500,000 active businesses across diverse sectors. The city's rapid economic diversification—from traditional trade to fintech and luxury retail—demands rigorous sales oversight. Our Auditor team has processed 12,875 sales transactions totaling AED 432.7 million during Q3, reflecting the scale of operations requiring robust auditing frameworks. In this high-stakes environment, where UAE Commercial Companies Law (Federal Law No. 2 of 2015) and VAT regulations are strictly enforced by Federal Tax Authority (FTA), the role of an independent Auditor transcends mere compliance—it is a strategic business enabler.</w:t>
      </w:r>
    </w:p>
    <w:bookmarkEnd w:id="21"/>
    <w:bookmarkStart w:id="22" w:name="X9f47e2ee45e91d192cd1a587639b507ead310b2"/>
    <w:p>
      <w:pPr>
        <w:pStyle w:val="Heading2"/>
      </w:pPr>
      <w:r>
        <w:t xml:space="preserve">Auditor's Key Findings: Sales Performance &amp; Compliance</w:t>
      </w:r>
    </w:p>
    <w:p>
      <w:pPr>
        <w:pStyle w:val="FirstParagraph"/>
      </w:pPr>
      <w:r>
        <w:t xml:space="preserve">The dedicated Auditor conducted comprehensive reviews across all sales channels, revealing critical insights:</w:t>
      </w:r>
    </w:p>
    <w:p>
      <w:pPr>
        <w:numPr>
          <w:ilvl w:val="0"/>
          <w:numId w:val="1001"/>
        </w:numPr>
        <w:pStyle w:val="Compact"/>
      </w:pPr>
      <w:r>
        <w:rPr>
          <w:bCs/>
          <w:b/>
        </w:rPr>
        <w:t xml:space="preserve">Revenue Recognition Accuracy:</w:t>
      </w:r>
      <w:r>
        <w:t xml:space="preserve"> </w:t>
      </w:r>
      <w:r>
        <w:t xml:space="preserve">98.7% of sales records aligned with UAE Accounting Standards (UAE AS). The Auditor identified 0.3% discrepancies due to delayed VAT registration in two subsidiary entities, promptly rectified prior to DED submission.</w:t>
      </w:r>
    </w:p>
    <w:p>
      <w:pPr>
        <w:numPr>
          <w:ilvl w:val="0"/>
          <w:numId w:val="1001"/>
        </w:numPr>
        <w:pStyle w:val="Compact"/>
      </w:pPr>
      <w:r>
        <w:rPr>
          <w:bCs/>
          <w:b/>
        </w:rPr>
        <w:t xml:space="preserve">Contract Compliance:</w:t>
      </w:r>
      <w:r>
        <w:t xml:space="preserve"> </w:t>
      </w:r>
      <w:r>
        <w:t xml:space="preserve">All sales contracts met Dubai International Financial Centre (DIFC) standards and UAE's Anti-Money Laundering laws. The Auditor flagged one high-value contract lacking mandatory Emirates ID verification, preventing potential regulatory penalties.</w:t>
      </w:r>
    </w:p>
    <w:p>
      <w:pPr>
        <w:numPr>
          <w:ilvl w:val="0"/>
          <w:numId w:val="1001"/>
        </w:numPr>
        <w:pStyle w:val="Compact"/>
      </w:pPr>
      <w:r>
        <w:rPr>
          <w:bCs/>
          <w:b/>
        </w:rPr>
        <w:t xml:space="preserve">VAT &amp; Tax Adherence:</w:t>
      </w:r>
      <w:r>
        <w:t xml:space="preserve"> </w:t>
      </w:r>
      <w:r>
        <w:t xml:space="preserve">Audit revealed 100% compliance with UAE VAT Law (Federal Decree-Law No. 8 of 2017). Real-time sales data integration with FTA systems reduced tax filing errors by 92% versus previous periods.</w:t>
      </w:r>
    </w:p>
    <w:p>
      <w:pPr>
        <w:numPr>
          <w:ilvl w:val="0"/>
          <w:numId w:val="1001"/>
        </w:numPr>
        <w:pStyle w:val="Compact"/>
      </w:pPr>
      <w:r>
        <w:rPr>
          <w:bCs/>
          <w:b/>
        </w:rPr>
        <w:t xml:space="preserve">Export Sales Integrity:</w:t>
      </w:r>
      <w:r>
        <w:t xml:space="preserve"> </w:t>
      </w:r>
      <w:r>
        <w:t xml:space="preserve">For Dubai's export-focused clients (accounting for 35% of total revenue), the Auditor confirmed full adherence to UAE Ministry of Economy trade documentation requirements, avoiding shipment delays at Jebel Ali Port.</w:t>
      </w:r>
    </w:p>
    <w:bookmarkEnd w:id="22"/>
    <w:bookmarkStart w:id="23" w:name="X9ac389ac3e67310c88a806183736578917f8a03"/>
    <w:p>
      <w:pPr>
        <w:pStyle w:val="Heading2"/>
      </w:pPr>
      <w:r>
        <w:t xml:space="preserve">The Strategic Value of the Auditor in UAE Dubai Operations</w:t>
      </w:r>
    </w:p>
    <w:p>
      <w:pPr>
        <w:pStyle w:val="FirstParagraph"/>
      </w:pPr>
      <w:r>
        <w:t xml:space="preserve">Within the United Arab Emirates Dubai business context, our Auditor's work delivers multi-layered value beyond regulatory protection:</w:t>
      </w:r>
    </w:p>
    <w:p>
      <w:pPr>
        <w:numPr>
          <w:ilvl w:val="0"/>
          <w:numId w:val="1002"/>
        </w:numPr>
        <w:pStyle w:val="Compact"/>
      </w:pPr>
      <w:r>
        <w:rPr>
          <w:bCs/>
          <w:b/>
        </w:rPr>
        <w:t xml:space="preserve">Risk Mitigation:</w:t>
      </w:r>
      <w:r>
        <w:t xml:space="preserve"> </w:t>
      </w:r>
      <w:r>
        <w:t xml:space="preserve">The Auditor proactively identified a 4.7% sales commission overpayment pattern linked to unverified client contracts. Correcting this prevented AED 182,000 in avoidable expenses—critical in Dubai's competitive market where margins are often razor-thin.</w:t>
      </w:r>
    </w:p>
    <w:p>
      <w:pPr>
        <w:numPr>
          <w:ilvl w:val="0"/>
          <w:numId w:val="1002"/>
        </w:numPr>
        <w:pStyle w:val="Compact"/>
      </w:pPr>
      <w:r>
        <w:rPr>
          <w:bCs/>
          <w:b/>
        </w:rPr>
        <w:t xml:space="preserve">Client Trust Enhancement:</w:t>
      </w:r>
      <w:r>
        <w:t xml:space="preserve"> </w:t>
      </w:r>
      <w:r>
        <w:t xml:space="preserve">Post-audit compliance certifications (including DIFC and DED endorsements) strengthened client confidence. Two major multinational clients expanded contracts by 22% after receiving our Auditor-verified financial transparency report.</w:t>
      </w:r>
    </w:p>
    <w:p>
      <w:pPr>
        <w:numPr>
          <w:ilvl w:val="0"/>
          <w:numId w:val="1002"/>
        </w:numPr>
        <w:pStyle w:val="Compact"/>
      </w:pPr>
      <w:r>
        <w:rPr>
          <w:bCs/>
          <w:b/>
        </w:rPr>
        <w:t xml:space="preserve">Data-Driven Sales Optimization:</w:t>
      </w:r>
      <w:r>
        <w:t xml:space="preserve"> </w:t>
      </w:r>
      <w:r>
        <w:t xml:space="preserve">By auditing sales funnel metrics, the Auditor pinpointed a 30% higher conversion rate in Dubai's tourism sector (e.g., luxury hospitality partners). This insight directly informed targeted Q4 campaigns, projecting AED 28M additional revenue.</w:t>
      </w:r>
    </w:p>
    <w:p>
      <w:pPr>
        <w:numPr>
          <w:ilvl w:val="0"/>
          <w:numId w:val="1002"/>
        </w:numPr>
        <w:pStyle w:val="Compact"/>
      </w:pPr>
      <w:r>
        <w:rPr>
          <w:bCs/>
          <w:b/>
        </w:rPr>
        <w:t xml:space="preserve">Cultural &amp; Legal Alignment:</w:t>
      </w:r>
      <w:r>
        <w:t xml:space="preserve"> </w:t>
      </w:r>
      <w:r>
        <w:t xml:space="preserve">The Auditor demonstrated deep expertise in UAE business customs—such as requiring Arabic-language sales terms for local entities per Dubai Courts' guidelines—preventing contractual disputes common among foreign enterprises.</w:t>
      </w:r>
    </w:p>
    <w:bookmarkEnd w:id="23"/>
    <w:bookmarkStart w:id="24" w:name="X0471c38695ecea223d52cf1bef9cdf9a6b39a59"/>
    <w:p>
      <w:pPr>
        <w:pStyle w:val="Heading2"/>
      </w:pPr>
      <w:r>
        <w:t xml:space="preserve">Compliance Challenges &amp; UAE Regulatory Landscape</w:t>
      </w:r>
    </w:p>
    <w:p>
      <w:pPr>
        <w:pStyle w:val="FirstParagraph"/>
      </w:pPr>
      <w:r>
        <w:t xml:space="preserve">Dubai's evolving regulatory framework presents unique audit challenges. The Auditor navigated:</w:t>
      </w:r>
    </w:p>
    <w:p>
      <w:pPr>
        <w:numPr>
          <w:ilvl w:val="0"/>
          <w:numId w:val="1003"/>
        </w:numPr>
        <w:pStyle w:val="Compact"/>
      </w:pPr>
      <w:r>
        <w:rPr>
          <w:bCs/>
          <w:b/>
        </w:rPr>
        <w:t xml:space="preserve">EmiratesID Integration:</w:t>
      </w:r>
      <w:r>
        <w:t xml:space="preserve"> </w:t>
      </w:r>
      <w:r>
        <w:t xml:space="preserve">Mandatory for all sales contracts per Dubai Civil Transactions Law (Federal Law No. 5 of 1985). Our Auditor automated ID verification, reducing processing time by 70%.</w:t>
      </w:r>
    </w:p>
    <w:p>
      <w:pPr>
        <w:numPr>
          <w:ilvl w:val="0"/>
          <w:numId w:val="1003"/>
        </w:numPr>
        <w:pStyle w:val="Compact"/>
      </w:pPr>
      <w:r>
        <w:rPr>
          <w:bCs/>
          <w:b/>
        </w:rPr>
        <w:t xml:space="preserve">VAT Threshold Management:</w:t>
      </w:r>
      <w:r>
        <w:t xml:space="preserve"> </w:t>
      </w:r>
      <w:r>
        <w:t xml:space="preserve">For businesses exceeding AED 375,000 annual turnover (as required by FTA), the Auditor implemented dynamic VAT rate adjustments across Dubai's 12 free zones.</w:t>
      </w:r>
    </w:p>
    <w:p>
      <w:pPr>
        <w:numPr>
          <w:ilvl w:val="0"/>
          <w:numId w:val="1003"/>
        </w:numPr>
        <w:pStyle w:val="Compact"/>
      </w:pPr>
      <w:r>
        <w:rPr>
          <w:bCs/>
          <w:b/>
        </w:rPr>
        <w:t xml:space="preserve">Dubai Chamber of Commerce Certification:</w:t>
      </w:r>
      <w:r>
        <w:t xml:space="preserve"> </w:t>
      </w:r>
      <w:r>
        <w:t xml:space="preserve">Sales reports now include Chamber validation stamps, a prerequisite for export contracts under UAE Federal Law No. 18 of 2019.</w:t>
      </w:r>
    </w:p>
    <w:bookmarkEnd w:id="24"/>
    <w:bookmarkStart w:id="25" w:name="recommendations-from-the-auditor"/>
    <w:p>
      <w:pPr>
        <w:pStyle w:val="Heading2"/>
      </w:pPr>
      <w:r>
        <w:t xml:space="preserve">Recommendations from the Auditor</w:t>
      </w:r>
    </w:p>
    <w:p>
      <w:pPr>
        <w:pStyle w:val="FirstParagraph"/>
      </w:pPr>
      <w:r>
        <w:t xml:space="preserve">To maximize sales performance within United Arab Emirates Dubai's market, our Auditor recommends:</w:t>
      </w:r>
    </w:p>
    <w:p>
      <w:pPr>
        <w:numPr>
          <w:ilvl w:val="0"/>
          <w:numId w:val="1004"/>
        </w:numPr>
        <w:pStyle w:val="Compact"/>
      </w:pPr>
      <w:r>
        <w:rPr>
          <w:bCs/>
          <w:b/>
        </w:rPr>
        <w:t xml:space="preserve">Implement AI-Powered Sales Auditing:</w:t>
      </w:r>
      <w:r>
        <w:t xml:space="preserve"> </w:t>
      </w:r>
      <w:r>
        <w:t xml:space="preserve">Deploy predictive analytics to flag anomalies in real-time (e.g., duplicate invoices), reducing manual review time by 50% and aligning with Dubai's Smart City Initiative.</w:t>
      </w:r>
    </w:p>
    <w:p>
      <w:pPr>
        <w:numPr>
          <w:ilvl w:val="0"/>
          <w:numId w:val="1004"/>
        </w:numPr>
        <w:pStyle w:val="Compact"/>
      </w:pPr>
      <w:r>
        <w:rPr>
          <w:bCs/>
          <w:b/>
        </w:rPr>
        <w:t xml:space="preserve">Expand Localized Compliance Training:</w:t>
      </w:r>
      <w:r>
        <w:t xml:space="preserve"> </w:t>
      </w:r>
      <w:r>
        <w:t xml:space="preserve">Mandate DED regulatory workshops for all sales staff, addressing frequent errors in UAE labor law-compliant commission structures.</w:t>
      </w:r>
    </w:p>
    <w:p>
      <w:pPr>
        <w:numPr>
          <w:ilvl w:val="0"/>
          <w:numId w:val="1004"/>
        </w:numPr>
        <w:pStyle w:val="Compact"/>
      </w:pPr>
      <w:r>
        <w:rPr>
          <w:bCs/>
          <w:b/>
        </w:rPr>
        <w:t xml:space="preserve">Establish Dubai-Specific KPIs:</w:t>
      </w:r>
      <w:r>
        <w:t xml:space="preserve"> </w:t>
      </w:r>
      <w:r>
        <w:t xml:space="preserve">Track metrics like "DED Audit Readiness Score" and "VAT Submission Timeliness" as core sales performance indicators.</w:t>
      </w:r>
    </w:p>
    <w:p>
      <w:pPr>
        <w:numPr>
          <w:ilvl w:val="0"/>
          <w:numId w:val="1004"/>
        </w:numPr>
        <w:pStyle w:val="Compact"/>
      </w:pPr>
      <w:r>
        <w:rPr>
          <w:bCs/>
          <w:b/>
        </w:rPr>
        <w:t xml:space="preserve">Leverage Dubai's Free Zone Benefits:</w:t>
      </w:r>
      <w:r>
        <w:t xml:space="preserve"> </w:t>
      </w:r>
      <w:r>
        <w:t xml:space="preserve">The Auditor identified 18% revenue potential from shifting qualifying sales to Dubai International Financial Centre (DIFC) due to its tax advantages.</w:t>
      </w:r>
    </w:p>
    <w:bookmarkEnd w:id="25"/>
    <w:bookmarkStart w:id="26" w:name="X2458765f23cdd4952db0743f97c0580eb2b4e6d"/>
    <w:p>
      <w:pPr>
        <w:pStyle w:val="Heading2"/>
      </w:pPr>
      <w:r>
        <w:t xml:space="preserve">Conclusion: Auditor as Strategic Growth Catalyst</w:t>
      </w:r>
    </w:p>
    <w:p>
      <w:pPr>
        <w:pStyle w:val="FirstParagraph"/>
      </w:pPr>
      <w:r>
        <w:t xml:space="preserve">This Sales Report affirms that in the United Arab Emirates Dubai marketplace, an effective internal Auditor is not merely a compliance function but the bedrock of sustainable sales growth. The data underscores how proactive auditing directly translates to revenue preservation (preventing AED 182,000 losses), competitive advantage (securing new contracts), and strategic agility (enabling rapid DIFC expansion). As Dubai accelerates toward its 2030 vision for economic diversification, sales teams equipped with auditor-backed compliance frameworks will lead market share gains while honoring UAE’s stringent regulatory ethos. We strongly recommend elevating the Auditor's role to a senior strategic position within our Dubai operations to harness this full potential.</w:t>
      </w:r>
    </w:p>
    <w:p>
      <w:pPr>
        <w:pStyle w:val="BodyText"/>
      </w:pPr>
      <w:r>
        <w:rPr>
          <w:bCs/>
          <w:b/>
        </w:rPr>
        <w:t xml:space="preserve">Prepared By:</w:t>
      </w:r>
      <w:r>
        <w:t xml:space="preserve"> </w:t>
      </w:r>
      <w:r>
        <w:t xml:space="preserve">Internal Audit Department</w:t>
      </w:r>
      <w:r>
        <w:t xml:space="preserve"> </w:t>
      </w:r>
      <w:r>
        <w:rPr>
          <w:bCs/>
          <w:b/>
        </w:rPr>
        <w:t xml:space="preserve">Date:</w:t>
      </w:r>
      <w:r>
        <w:t xml:space="preserve"> </w:t>
      </w:r>
      <w:r>
        <w:t xml:space="preserve">October 15, 2023</w:t>
      </w:r>
      <w:r>
        <w:t xml:space="preserve"> </w:t>
      </w:r>
      <w:r>
        <w:rPr>
          <w:bCs/>
          <w:b/>
        </w:rPr>
        <w:t xml:space="preserve">For Review by:</w:t>
      </w:r>
      <w:r>
        <w:t xml:space="preserve"> </w:t>
      </w:r>
      <w:r>
        <w:t xml:space="preserve">Dubai Regional Management &amp; UAE Compliance Council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&amp; Compliance Analysis - Dubai, UAE</dc:title>
  <dc:creator/>
  <dc:language>en</dc:language>
  <cp:keywords/>
  <dcterms:created xsi:type="dcterms:W3CDTF">2026-07-23T15:39:51Z</dcterms:created>
  <dcterms:modified xsi:type="dcterms:W3CDTF">2026-07-23T15:39:51Z</dcterms:modified>
</cp:coreProperties>
</file>

<file path=docProps/custom.xml><?xml version="1.0" encoding="utf-8"?>
<Properties xmlns="http://schemas.openxmlformats.org/officeDocument/2006/custom-properties" xmlns:vt="http://schemas.openxmlformats.org/officeDocument/2006/docPropsVTypes"/>
</file>