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Performance</w:t>
      </w:r>
      <w:r>
        <w:t xml:space="preserve"> </w:t>
      </w:r>
      <w:r>
        <w:t xml:space="preserve">Report:</w:t>
      </w:r>
      <w:r>
        <w:t xml:space="preserve"> </w:t>
      </w:r>
      <w:r>
        <w:t xml:space="preserve">Auditor</w:t>
      </w:r>
      <w:r>
        <w:t xml:space="preserve"> </w:t>
      </w:r>
      <w:r>
        <w:t xml:space="preserve">Analysis</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Market</w:t>
      </w:r>
    </w:p>
    <w:bookmarkStart w:id="26" w:name="Xf977d8298bdf38aa7841e89257de9adab8fc383"/>
    <w:p>
      <w:pPr>
        <w:pStyle w:val="Heading1"/>
      </w:pPr>
      <w:r>
        <w:t xml:space="preserve">Comprehensive Sales Performance Report: Auditor Analysis for United States Miami Market</w:t>
      </w:r>
    </w:p>
    <w:p>
      <w:pPr>
        <w:pStyle w:val="FirstParagraph"/>
      </w:pPr>
      <w:r>
        <w:rPr>
          <w:bCs/>
          <w:b/>
        </w:rPr>
        <w:t xml:space="preserve">Prepared For:</w:t>
      </w:r>
      <w:r>
        <w:t xml:space="preserve"> </w:t>
      </w:r>
      <w:r>
        <w:t xml:space="preserve">Executive Leadership &amp; Sales Department</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Geographic Focus:</w:t>
      </w:r>
      <w:r>
        <w:t xml:space="preserve"> </w:t>
      </w:r>
      <w:r>
        <w:t xml:space="preserve">United States Miami Metro Area</w:t>
      </w:r>
    </w:p>
    <w:p>
      <w:pPr>
        <w:pStyle w:val="BodyText"/>
      </w:pPr>
      <w:r>
        <w:t xml:space="preserve">This Sales Report details the performance metrics, market analysis, and auditor-driven insights critical to understanding revenue generation within the Miami sales ecosystem. As a pivotal component of financial oversight in United States Miami, this document synthesizes data from our dedicated Auditor team to provide actionable intelligence for strategic decision-making.</w:t>
      </w:r>
    </w:p>
    <w:bookmarkStart w:id="20" w:name="executive-summary"/>
    <w:p>
      <w:pPr>
        <w:pStyle w:val="Heading2"/>
      </w:pPr>
      <w:r>
        <w:t xml:space="preserve">Executive Summary</w:t>
      </w:r>
    </w:p>
    <w:p>
      <w:pPr>
        <w:pStyle w:val="FirstParagraph"/>
      </w:pPr>
      <w:r>
        <w:t xml:space="preserve">The Q3 2023 Sales Performance Report for the United States Miami market reveals a 14.7% year-over-year revenue growth, driven by strategic expansion in luxury real estate and hospitality sectors. Crucially, the Auditor function has significantly enhanced sales transparency through rigorous financial validation processes. In Miami—where complex tax regulations and diverse commercial landscapes demand meticulous oversight—the Auditor team achieved a 98.3% accuracy rate in sales transaction verification, directly contributing to $2.1M in avoided revenue leakage during the reporting period.</w:t>
      </w:r>
    </w:p>
    <w:p>
      <w:pPr>
        <w:pStyle w:val="BodyText"/>
      </w:pPr>
      <w:r>
        <w:t xml:space="preserve">Key findings include: (1) 22% increase in high-value client acquisitions through auditor-validated compliance protocols, (2) 37% reduction in sales contract disputes due to pre-transaction financial audits, and (3) Miami's market outperformance relative to national averages by 6.2 percentage points.</w:t>
      </w:r>
    </w:p>
    <w:bookmarkEnd w:id="20"/>
    <w:bookmarkStart w:id="22" w:name="X71109b262bfec9e1ca7469fea8bb827a6ace02c"/>
    <w:p>
      <w:pPr>
        <w:pStyle w:val="Heading2"/>
      </w:pPr>
      <w:r>
        <w:t xml:space="preserve">Market-Specific Sales Performance Analysis</w:t>
      </w:r>
    </w:p>
    <w:p>
      <w:pPr>
        <w:pStyle w:val="FirstParagraph"/>
      </w:pPr>
      <w:r>
        <w:t xml:space="preserve">The Miami sales landscape presents unique characteristics requiring specialized auditor intervention. As the fifth-largest U.S. metropolitan economy with a $450B GDP, Miami's market demands nuanced financial oversight due to:</w:t>
      </w:r>
    </w:p>
    <w:p>
      <w:pPr>
        <w:numPr>
          <w:ilvl w:val="0"/>
          <w:numId w:val="1001"/>
        </w:numPr>
        <w:pStyle w:val="Compact"/>
      </w:pPr>
      <w:r>
        <w:t xml:space="preserve">High concentration of international clients (38% of Q3 sales)</w:t>
      </w:r>
    </w:p>
    <w:p>
      <w:pPr>
        <w:numPr>
          <w:ilvl w:val="0"/>
          <w:numId w:val="1001"/>
        </w:numPr>
        <w:pStyle w:val="Compact"/>
      </w:pPr>
      <w:r>
        <w:t xml:space="preserve">Complex tax structures across multiple jurisdictions</w:t>
      </w:r>
    </w:p>
    <w:p>
      <w:pPr>
        <w:numPr>
          <w:ilvl w:val="0"/>
          <w:numId w:val="1001"/>
        </w:numPr>
        <w:pStyle w:val="Compact"/>
      </w:pPr>
      <w:r>
        <w:t xml:space="preserve">Seasonal demand fluctuations tied to tourism cycles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Miami Performance (Q3)</w:t>
            </w:r>
          </w:p>
        </w:tc>
        <w:tc>
          <w:tcPr/>
          <w:p>
            <w:pPr>
              <w:pStyle w:val="Compact"/>
              <w:jc w:val="left"/>
            </w:pPr>
            <w:r>
              <w:t xml:space="preserve">National Average (Q3)</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$14.7M</w:t>
            </w:r>
          </w:p>
        </w:tc>
        <w:tc>
          <w:tcPr/>
          <w:p>
            <w:pPr>
              <w:pStyle w:val="Compact"/>
              <w:jc w:val="left"/>
            </w:pPr>
            <w:r>
              <w:t xml:space="preserve">$12.8M</w:t>
            </w:r>
          </w:p>
        </w:tc>
        <w:tc>
          <w:tcPr/>
          <w:p>
            <w:pPr>
              <w:pStyle w:val="Compact"/>
              <w:jc w:val="left"/>
            </w:pPr>
            <w:r>
              <w:t xml:space="preserve">+14.7%</w:t>
            </w:r>
          </w:p>
        </w:tc>
      </w:tr>
      <w:tr>
        <w:tc>
          <w:tcPr/>
          <w:p>
            <w:pPr>
              <w:pStyle w:val="Compact"/>
              <w:jc w:val="left"/>
            </w:pPr>
            <w:r>
              <w:t xml:space="preserve">Client Acquisition Cost</w:t>
            </w:r>
          </w:p>
        </w:tc>
        <w:tc>
          <w:tcPr>
            <w:gridSpan w:val="3"/>
          </w:tcPr>
          <w:p>
            <w:pPr>
              <w:pStyle w:val="Compact"/>
              <w:jc w:val="left"/>
            </w:pPr>
            <w:r>
              <w:t xml:space="preserve">$3,850 (↓ 9.2%) - Auditor-driven optimization</w:t>
            </w:r>
          </w:p>
        </w:tc>
      </w:tr>
      <w:tr>
        <w:tc>
          <w:tcPr/>
          <w:p>
            <w:pPr>
              <w:pStyle w:val="Compact"/>
              <w:jc w:val="left"/>
            </w:pPr>
            <w:r>
              <w:t xml:space="preserve">Contract Dispute Resolution Time</w:t>
            </w:r>
          </w:p>
        </w:tc>
        <w:tc>
          <w:tcPr/>
          <w:p>
            <w:pPr>
              <w:pStyle w:val="Compact"/>
              <w:jc w:val="left"/>
            </w:pPr>
            <w:r>
              <w:t xml:space="preserve">8.2 days</w:t>
            </w:r>
          </w:p>
        </w:tc>
        <w:tc>
          <w:tcPr/>
          <w:p>
            <w:pPr>
              <w:pStyle w:val="Compact"/>
              <w:jc w:val="left"/>
            </w:pPr>
            <w:r>
              <w:t xml:space="preserve">14.7 days</w:t>
            </w:r>
          </w:p>
        </w:tc>
        <w:tc>
          <w:tcPr/>
          <w:p>
            <w:pPr>
              <w:pStyle w:val="Compact"/>
              <w:jc w:val="left"/>
            </w:pPr>
            <w:r>
              <w:t xml:space="preserve">↓ 44.2%</w:t>
            </w:r>
          </w:p>
        </w:tc>
      </w:tr>
      <w:tr>
        <w:tc>
          <w:tcPr/>
          <w:p>
            <w:pPr>
              <w:pStyle w:val="Compact"/>
              <w:jc w:val="left"/>
            </w:pPr>
            <w:r>
              <w:t xml:space="preserve">Luxury Segment Growth (&gt;$50K Transactions)</w:t>
            </w:r>
          </w:p>
        </w:tc>
        <w:tc>
          <w:tcPr>
            <w:gridSpan w:val="3"/>
          </w:tcPr>
          <w:p>
            <w:pPr>
              <w:pStyle w:val="Compact"/>
              <w:jc w:val="left"/>
            </w:pPr>
            <w:r>
              <w:t xml:space="preserve">+31% - Directly linked to auditor compliance validation</w:t>
            </w:r>
          </w:p>
        </w:tc>
      </w:tr>
    </w:tbl>
    <w:bookmarkStart w:id="21" w:name="X45111ab8f803f78941d52c7d0d0a9e391917804"/>
    <w:p>
      <w:pPr>
        <w:pStyle w:val="Heading3"/>
      </w:pPr>
      <w:r>
        <w:t xml:space="preserve">Role of the Auditor in Miami Market Success</w:t>
      </w:r>
    </w:p>
    <w:p>
      <w:pPr>
        <w:pStyle w:val="FirstParagraph"/>
      </w:pPr>
      <w:r>
        <w:t xml:space="preserve">Far from being a passive compliance function, the Auditor role has evolved into a strategic sales accelerator within United States Miami operations. Our on-ground Audit team implemented three critical initiatives:</w:t>
      </w:r>
    </w:p>
    <w:p>
      <w:pPr>
        <w:numPr>
          <w:ilvl w:val="0"/>
          <w:numId w:val="1002"/>
        </w:numPr>
        <w:pStyle w:val="Compact"/>
      </w:pPr>
      <w:r>
        <w:rPr>
          <w:bCs/>
          <w:b/>
        </w:rPr>
        <w:t xml:space="preserve">Pre-Sale Financial Vetting:</w:t>
      </w:r>
      <w:r>
        <w:t xml:space="preserve"> </w:t>
      </w:r>
      <w:r>
        <w:t xml:space="preserve">All prospective clients undergo auditor review of financial health and creditworthiness. This reduced bad debt by 27% in Q3, particularly among high-net-worth international buyers.</w:t>
      </w:r>
    </w:p>
    <w:p>
      <w:pPr>
        <w:numPr>
          <w:ilvl w:val="0"/>
          <w:numId w:val="1002"/>
        </w:numPr>
        <w:pStyle w:val="Compact"/>
      </w:pPr>
      <w:r>
        <w:rPr>
          <w:bCs/>
          <w:b/>
        </w:rPr>
        <w:t xml:space="preserve">Tax Compliance Integration:</w:t>
      </w:r>
      <w:r>
        <w:t xml:space="preserve"> </w:t>
      </w:r>
      <w:r>
        <w:t xml:space="preserve">Miami's unique sales tax (6% state + 0.5-3% local) creates complexity. Auditor-driven tax mapping increased accurate pricing by 91%, preventing $427K in potential overbilling disputes.</w:t>
      </w:r>
    </w:p>
    <w:p>
      <w:pPr>
        <w:numPr>
          <w:ilvl w:val="0"/>
          <w:numId w:val="1002"/>
        </w:numPr>
        <w:pStyle w:val="Compact"/>
      </w:pPr>
      <w:r>
        <w:rPr>
          <w:bCs/>
          <w:b/>
        </w:rPr>
        <w:t xml:space="preserve">Real-Time Sales Analytics Dashboard:</w:t>
      </w:r>
      <w:r>
        <w:t xml:space="preserve"> </w:t>
      </w:r>
      <w:r>
        <w:t xml:space="preserve">The Auditor team developed a Miami-specific sales analytics tool providing live data on revenue streams, margin per client segment, and compliance risk scores—adopted by 100% of Miami sales representatives.</w:t>
      </w:r>
    </w:p>
    <w:bookmarkEnd w:id="21"/>
    <w:bookmarkEnd w:id="22"/>
    <w:bookmarkStart w:id="23" w:name="challenges-faced-in-united-states-miami"/>
    <w:p>
      <w:pPr>
        <w:pStyle w:val="Heading2"/>
      </w:pPr>
      <w:r>
        <w:t xml:space="preserve">Challenges Faced in United States Miami</w:t>
      </w:r>
    </w:p>
    <w:p>
      <w:pPr>
        <w:pStyle w:val="FirstParagraph"/>
      </w:pPr>
      <w:r>
        <w:t xml:space="preserve">Despite strong results, the Miami market presents distinct auditor challenges requiring continuous adaptation:</w:t>
      </w:r>
    </w:p>
    <w:p>
      <w:pPr>
        <w:numPr>
          <w:ilvl w:val="0"/>
          <w:numId w:val="1003"/>
        </w:numPr>
        <w:pStyle w:val="Compact"/>
      </w:pPr>
      <w:r>
        <w:rPr>
          <w:bCs/>
          <w:b/>
        </w:rPr>
        <w:t xml:space="preserve">Regulatory Complexity:</w:t>
      </w:r>
      <w:r>
        <w:t xml:space="preserve"> </w:t>
      </w:r>
      <w:r>
        <w:t xml:space="preserve">13 different local tax jurisdictions within Miami-Dade County necessitate specialized audit protocols beyond standard U.S. frameworks.</w:t>
      </w:r>
    </w:p>
    <w:p>
      <w:pPr>
        <w:numPr>
          <w:ilvl w:val="0"/>
          <w:numId w:val="1003"/>
        </w:numPr>
        <w:pStyle w:val="Compact"/>
      </w:pPr>
      <w:r>
        <w:rPr>
          <w:bCs/>
          <w:b/>
        </w:rPr>
        <w:t xml:space="preserve">Currency Volatility:</w:t>
      </w:r>
      <w:r>
        <w:t xml:space="preserve"> </w:t>
      </w:r>
      <w:r>
        <w:t xml:space="preserve">International transactions (primarily EUR/GBP) created FX risk exposure that auditors identified and mitigated through forward contracts, saving $184K in Q3.</w:t>
      </w:r>
    </w:p>
    <w:p>
      <w:pPr>
        <w:numPr>
          <w:ilvl w:val="0"/>
          <w:numId w:val="1003"/>
        </w:numPr>
        <w:pStyle w:val="Compact"/>
      </w:pPr>
      <w:r>
        <w:rPr>
          <w:bCs/>
          <w:b/>
        </w:rPr>
        <w:t xml:space="preserve">Talent Retention:</w:t>
      </w:r>
      <w:r>
        <w:t xml:space="preserve"> </w:t>
      </w:r>
      <w:r>
        <w:t xml:space="preserve">22% of Miami sales staff turnover occurred during Q3 due to insufficient financial literacy—addressed by auditor-led cross-training programs increasing compliance understanding by 65%.</w:t>
      </w:r>
    </w:p>
    <w:p>
      <w:pPr>
        <w:pStyle w:val="FirstParagraph"/>
      </w:pPr>
      <w:r>
        <w:t xml:space="preserve">Notably, the Auditor team's intervention in a $1.8M hospitality client contract prevented $210K in non-compliance penalties. The audit identified discrepancies in Miami's transient occupancy tax (TOT) calculation—a critical oversight for luxury hotel sales that could have triggered state-level enforcement actions.</w:t>
      </w:r>
    </w:p>
    <w:bookmarkEnd w:id="23"/>
    <w:bookmarkStart w:id="24" w:name="X21715320cc339c65c3f57afa8c938b708b9a361"/>
    <w:p>
      <w:pPr>
        <w:pStyle w:val="Heading2"/>
      </w:pPr>
      <w:r>
        <w:t xml:space="preserve">Strategic Recommendations for Enhanced Auditor Impact</w:t>
      </w:r>
    </w:p>
    <w:p>
      <w:pPr>
        <w:pStyle w:val="FirstParagraph"/>
      </w:pPr>
      <w:r>
        <w:t xml:space="preserve">Based on Q3 insights, we recommend these Miami-specific auditor initiatives:</w:t>
      </w:r>
    </w:p>
    <w:p>
      <w:pPr>
        <w:numPr>
          <w:ilvl w:val="0"/>
          <w:numId w:val="1004"/>
        </w:numPr>
        <w:pStyle w:val="Compact"/>
      </w:pPr>
      <w:r>
        <w:rPr>
          <w:bCs/>
          <w:b/>
        </w:rPr>
        <w:t xml:space="preserve">Miami Compliance Task Force:</w:t>
      </w:r>
      <w:r>
        <w:t xml:space="preserve"> </w:t>
      </w:r>
      <w:r>
        <w:t xml:space="preserve">Establish a dedicated team of 3 auditors specializing in local tax codes (including TOT, business tax, and foreign client regulations) to reduce audit cycle time by 40%.</w:t>
      </w:r>
    </w:p>
    <w:p>
      <w:pPr>
        <w:numPr>
          <w:ilvl w:val="0"/>
          <w:numId w:val="1004"/>
        </w:numPr>
        <w:pStyle w:val="Compact"/>
      </w:pPr>
      <w:r>
        <w:rPr>
          <w:bCs/>
          <w:b/>
        </w:rPr>
        <w:t xml:space="preserve">AI-Powered Sales Risk Scoring:</w:t>
      </w:r>
      <w:r>
        <w:t xml:space="preserve"> </w:t>
      </w:r>
      <w:r>
        <w:t xml:space="preserve">Integrate machine learning with auditor data to predict high-risk transactions before signing—projected to save $350K annually in Miami's complex market.</w:t>
      </w:r>
    </w:p>
    <w:p>
      <w:pPr>
        <w:numPr>
          <w:ilvl w:val="0"/>
          <w:numId w:val="1004"/>
        </w:numPr>
        <w:pStyle w:val="Compact"/>
      </w:pPr>
      <w:r>
        <w:rPr>
          <w:bCs/>
          <w:b/>
        </w:rPr>
        <w:t xml:space="preserve">International Client Financial Workshops:</w:t>
      </w:r>
      <w:r>
        <w:t xml:space="preserve"> </w:t>
      </w:r>
      <w:r>
        <w:t xml:space="preserve">Partner with Miami-Dade Chamber of Commerce for quarterly auditor-led sessions educating clients on U.S. financial compliance—expected to reduce onboarding friction by 30%.</w:t>
      </w:r>
    </w:p>
    <w:bookmarkEnd w:id="24"/>
    <w:bookmarkStart w:id="25" w:name="conclusion"/>
    <w:p>
      <w:pPr>
        <w:pStyle w:val="Heading2"/>
      </w:pPr>
      <w:r>
        <w:t xml:space="preserve">Conclusion</w:t>
      </w:r>
    </w:p>
    <w:p>
      <w:pPr>
        <w:pStyle w:val="FirstParagraph"/>
      </w:pPr>
      <w:r>
        <w:t xml:space="preserve">The Q3 Sales Report unequivocally demonstrates that the Auditor role is not merely a compliance function but the cornerstone of sustainable growth in United States Miami. In a market where $50M+ in sales transactions occur monthly under complex regulations, our Auditor team's precision has directly driven revenue protection, client trust, and strategic foresight. The 14.7% YoY revenue growth—exceeding national averages by 6.2 percentage points—would not have been achievable without the auditor's integration into the sales lifecycle.</w:t>
      </w:r>
    </w:p>
    <w:p>
      <w:pPr>
        <w:pStyle w:val="BodyText"/>
      </w:pPr>
      <w:r>
        <w:t xml:space="preserve">As Miami continues to solidify its position as a global business hub within the United States, we recommend elevating Auditor staffing in this region by 25% and embedding financial audit protocols into all new sales initiatives. This investment will not only safeguard current revenue streams but also position our organization as the compliance leader in one of America's most dynamic markets.</w:t>
      </w:r>
    </w:p>
    <w:p>
      <w:pPr>
        <w:pStyle w:val="BodyText"/>
      </w:pPr>
      <w:r>
        <w:rPr>
          <w:bCs/>
          <w:b/>
        </w:rPr>
        <w:t xml:space="preserve">Final Note:</w:t>
      </w:r>
      <w:r>
        <w:t xml:space="preserve"> </w:t>
      </w:r>
      <w:r>
        <w:t xml:space="preserve">The synergy between Sales Execution and Auditor Oversight has transformed Miami from a high-risk to a high-reward territory. Moving forward, we will publish monthly "Auditor Sales Insights" reports specific to United States Miami—a critical differentiator in our market leadership strategy.</w:t>
      </w:r>
    </w:p>
    <w:p>
      <w:pPr>
        <w:pStyle w:val="BodyText"/>
      </w:pPr>
      <w:r>
        <w:t xml:space="preserve">Prepared by the Strategic Audit &amp; Sales Intelligence Division</w:t>
      </w:r>
    </w:p>
    <w:p>
      <w:pPr>
        <w:pStyle w:val="BodyText"/>
      </w:pPr>
      <w:r>
        <w:t xml:space="preserve">United States Miami Market Office | Certified Financial Auditor Team</w:t>
      </w:r>
    </w:p>
    <w:p>
      <w:pPr>
        <w:pStyle w:val="BodyText"/>
      </w:pPr>
      <w:r>
        <w:rPr>
          <w:iCs/>
          <w:i/>
        </w:rPr>
        <w:t xml:space="preserve">"Precision in Compliance, Excellence in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Performance Report: Auditor Analysis for United States Miami Market</dc:title>
  <dc:creator/>
  <dc:language>en</dc:language>
  <cp:keywords/>
  <dcterms:created xsi:type="dcterms:W3CDTF">2026-07-21T06:08:16Z</dcterms:created>
  <dcterms:modified xsi:type="dcterms:W3CDTF">2026-07-21T06:08:16Z</dcterms:modified>
</cp:coreProperties>
</file>

<file path=docProps/custom.xml><?xml version="1.0" encoding="utf-8"?>
<Properties xmlns="http://schemas.openxmlformats.org/officeDocument/2006/custom-properties" xmlns:vt="http://schemas.openxmlformats.org/officeDocument/2006/docPropsVTypes"/>
</file>