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Operations</w:t>
      </w:r>
    </w:p>
    <w:bookmarkStart w:id="26" w:name="X4f6e6f8a83591ab5f8e69a539e7d61bb18a081c"/>
    <w:p>
      <w:pPr>
        <w:pStyle w:val="Heading1"/>
      </w:pPr>
      <w:r>
        <w:t xml:space="preserve">SALES REPORT &amp; AUDITOR PERFORMANCE ANALYSIS</w:t>
      </w:r>
      <w:r>
        <w:br/>
      </w:r>
      <w:r>
        <w:t xml:space="preserve">UNITED STATES NEW YORK CITY OPERATIONS</w:t>
      </w:r>
    </w:p>
    <w:p>
      <w:pPr>
        <w:pStyle w:val="FirstParagraph"/>
      </w:pPr>
      <w:r>
        <w:t xml:space="preserve">Prepared by Internal Audit Department | October 26, 2023 | For Executive Leadership &amp; Sales Governance Committee</w:t>
      </w:r>
    </w:p>
    <w:bookmarkStart w:id="20" w:name="executive-summary"/>
    <w:p>
      <w:pPr>
        <w:pStyle w:val="Heading2"/>
      </w:pPr>
      <w:r>
        <w:t xml:space="preserve">Executive Summary</w:t>
      </w:r>
    </w:p>
    <w:p>
      <w:pPr>
        <w:pStyle w:val="FirstParagraph"/>
      </w:pPr>
      <w:r>
        <w:t xml:space="preserve">This comprehensive Sales Report details the performance metrics, compliance status, and critical audit findings for our United States New York City operations. As the premier financial oversight body responsible for validating sales integrity across NYC's complex commercial landscape, our Internal Auditor team has conducted a rigorous examination of all revenue streams from January 1 through September 30, 2023. This document serves as both a performance benchmark and a governance roadmap for maintaining regulatory excellence in America's most dynamic metropolitan market. The audit confirms strong sales growth across key sectors but identifies critical compliance gaps requiring immediate attention to protect our brand reputation and financial health in the United States' largest city.</w:t>
      </w:r>
    </w:p>
    <w:bookmarkEnd w:id="20"/>
    <w:bookmarkStart w:id="21" w:name="X06f1ce50c7f537b06c179a6b478666c4f5a50f2"/>
    <w:p>
      <w:pPr>
        <w:pStyle w:val="Heading2"/>
      </w:pPr>
      <w:r>
        <w:t xml:space="preserve">Market Context: New York City as a Sales Powerhouse</w:t>
      </w:r>
    </w:p>
    <w:p>
      <w:pPr>
        <w:pStyle w:val="FirstParagraph"/>
      </w:pPr>
      <w:r>
        <w:t xml:space="preserve">New York City remains the undisputed epicenter of commercial activity within the United States, contributing over $65 billion annually to our national sales portfolio. The city's unique ecosystem—spanning global finance, luxury retail, tech innovation hubs (Silicon Alley), and cultural institutions—demands specialized sales strategies that align with NYC-specific regulations and consumer expectations. Our Sales Report confirms a 14% year-over-year revenue increase in the Greater New York Metro area, outpacing the national average by 3.2%. This growth stems from strategic partnerships with Fortune 500 corporations headquartered in Manhattan, high-value hospitality contracts across boroughs, and digital commerce expansions targeting NYC's diverse population of 8.3 million residents.</w:t>
      </w:r>
    </w:p>
    <w:p>
      <w:pPr>
        <w:pStyle w:val="BodyText"/>
      </w:pPr>
      <w:r>
        <w:t xml:space="preserve">Crucially, this performance is directly monitored by our dedicated NYC Auditor team, who verify transaction accuracy against stringent New York State Department of Taxation and Finance requirements. The Auditor must navigate complex local tax structures—including NYC's 4% city surcharge on commercial transactions—while ensuring compliance with federal regulations like the Foreign Corrupt Practices Act (FCPA). This dual regulatory environment makes our United States New York City operations particularly challenging for sales integrity monitoring.</w:t>
      </w:r>
    </w:p>
    <w:bookmarkEnd w:id="21"/>
    <w:bookmarkStart w:id="22" w:name="Xb7b6231a9745c9eee4c6cfaa6d3f3bff2ce6bfc"/>
    <w:p>
      <w:pPr>
        <w:pStyle w:val="Heading2"/>
      </w:pPr>
      <w:r>
        <w:t xml:space="preserve">Sales Performance Analysis: Key Metrics (Jan–Sep 2023)</w:t>
      </w:r>
    </w:p>
    <w:p>
      <w:pPr>
        <w:pStyle w:val="FirstParagraph"/>
      </w:pPr>
      <w:r>
        <w:t xml:space="preserve">Our Sales Report presents verified performance data from all NYC sales channels, audited by our Internal Auditor team:</w:t>
      </w:r>
    </w:p>
    <w:p>
      <w:pPr>
        <w:numPr>
          <w:ilvl w:val="0"/>
          <w:numId w:val="1001"/>
        </w:numPr>
        <w:pStyle w:val="Compact"/>
      </w:pPr>
      <w:r>
        <w:rPr>
          <w:bCs/>
          <w:b/>
        </w:rPr>
        <w:t xml:space="preserve">Revenue Growth:</w:t>
      </w:r>
      <w:r>
        <w:t xml:space="preserve"> </w:t>
      </w:r>
      <w:r>
        <w:t xml:space="preserve">$187.3M (vs. $164.5M same period 2022) – exceeding target by 8.7%</w:t>
      </w:r>
    </w:p>
    <w:p>
      <w:pPr>
        <w:numPr>
          <w:ilvl w:val="0"/>
          <w:numId w:val="1001"/>
        </w:numPr>
        <w:pStyle w:val="Compact"/>
      </w:pPr>
      <w:r>
        <w:rPr>
          <w:bCs/>
          <w:b/>
        </w:rPr>
        <w:t xml:space="preserve">Top Performing Sectors:</w:t>
      </w:r>
      <w:r>
        <w:t xml:space="preserve"> </w:t>
      </w:r>
      <w:r>
        <w:t xml:space="preserve">Enterprise Solutions (+29%), Healthcare Contracts (+18%), and Luxury Retail Partnerships (+15%)</w:t>
      </w:r>
    </w:p>
    <w:p>
      <w:pPr>
        <w:numPr>
          <w:ilvl w:val="0"/>
          <w:numId w:val="1001"/>
        </w:numPr>
        <w:pStyle w:val="Compact"/>
      </w:pPr>
      <w:r>
        <w:rPr>
          <w:bCs/>
          <w:b/>
        </w:rPr>
        <w:t xml:space="preserve">Customer Retention Rate:</w:t>
      </w:r>
      <w:r>
        <w:t xml:space="preserve"> </w:t>
      </w:r>
      <w:r>
        <w:t xml:space="preserve">89.4% (vs. 86.2% industry average)</w:t>
      </w:r>
    </w:p>
    <w:p>
      <w:pPr>
        <w:numPr>
          <w:ilvl w:val="0"/>
          <w:numId w:val="1001"/>
        </w:numPr>
        <w:pStyle w:val="Compact"/>
      </w:pPr>
      <w:r>
        <w:rPr>
          <w:bCs/>
          <w:b/>
        </w:rPr>
        <w:t xml:space="preserve">Compliance Adherence:</w:t>
      </w:r>
      <w:r>
        <w:t xml:space="preserve"> </w:t>
      </w:r>
      <w:r>
        <w:t xml:space="preserve">92.3% audit pass rate on transaction documentation (below NYC regulatory benchmark of 95%)</w:t>
      </w:r>
    </w:p>
    <w:p>
      <w:pPr>
        <w:pStyle w:val="FirstParagraph"/>
      </w:pPr>
      <w:r>
        <w:t xml:space="preserve">The Auditor's verification process uncovered $4.2M in previously unaccounted revenue from premium hospitality partnerships, directly contributing to our market leadership position in the United States' most competitive sales environment. However, we also identified systematic discrepancies in sales tax calculation for 17% of digital commerce transactions—a critical gap requiring immediate remediation to avoid penalties under New York City's strict e-commerce taxation laws.</w:t>
      </w:r>
    </w:p>
    <w:bookmarkEnd w:id="22"/>
    <w:bookmarkStart w:id="23" w:name="critical-audit-findings-compliance-risks"/>
    <w:p>
      <w:pPr>
        <w:pStyle w:val="Heading2"/>
      </w:pPr>
      <w:r>
        <w:t xml:space="preserve">Critical Audit Findings &amp; Compliance Risks</w:t>
      </w:r>
    </w:p>
    <w:p>
      <w:pPr>
        <w:pStyle w:val="FirstParagraph"/>
      </w:pPr>
      <w:r>
        <w:t xml:space="preserve">As the authoritative voice of financial integrity for United States New York City operations, our Auditor team has identified three high-risk areas demanding urgent action:</w:t>
      </w:r>
    </w:p>
    <w:p>
      <w:pPr>
        <w:numPr>
          <w:ilvl w:val="0"/>
          <w:numId w:val="1002"/>
        </w:numPr>
        <w:pStyle w:val="Compact"/>
      </w:pPr>
      <w:r>
        <w:rPr>
          <w:bCs/>
          <w:b/>
        </w:rPr>
        <w:t xml:space="preserve">Regulatory Non-Compliance in Tax Reporting:</w:t>
      </w:r>
      <w:r>
        <w:t xml:space="preserve"> </w:t>
      </w:r>
      <w:r>
        <w:t xml:space="preserve">Inconsistent application of NYC's 3.876% municipal tax rate across SaaS contracts. This violates Article II, Section 11 of New York Tax Law and creates $287K exposure to potential fines.</w:t>
      </w:r>
    </w:p>
    <w:p>
      <w:pPr>
        <w:numPr>
          <w:ilvl w:val="0"/>
          <w:numId w:val="1002"/>
        </w:numPr>
        <w:pStyle w:val="Compact"/>
      </w:pPr>
      <w:r>
        <w:rPr>
          <w:bCs/>
          <w:b/>
        </w:rPr>
        <w:t xml:space="preserve">Sales Channel Misalignment:</w:t>
      </w:r>
      <w:r>
        <w:t xml:space="preserve"> </w:t>
      </w:r>
      <w:r>
        <w:t xml:space="preserve">Unauthorized discounts exceeding company policy (up to 23%) in the Bronx retail segment—resulting in $164K revenue leakage identified during our auditor review.</w:t>
      </w:r>
    </w:p>
    <w:p>
      <w:pPr>
        <w:pStyle w:val="FirstParagraph"/>
      </w:pPr>
      <w:r>
        <w:t xml:space="preserve">These findings underscore why the Auditor role is non-negotiable in NYC operations. Without rigorous third-party validation from our Internal Audit department, these compliance failures could trigger regulatory investigations by the New York State Attorney General's Office or federal scrutiny from the SEC.</w:t>
      </w:r>
    </w:p>
    <w:bookmarkEnd w:id="23"/>
    <w:bookmarkStart w:id="24" w:name="X90203b26b62d5347cdcc2e51b4ff9298e2eea71"/>
    <w:p>
      <w:pPr>
        <w:pStyle w:val="Heading2"/>
      </w:pPr>
      <w:r>
        <w:t xml:space="preserve">Strategic Recommendations for Sales Leadership</w:t>
      </w:r>
    </w:p>
    <w:p>
      <w:pPr>
        <w:pStyle w:val="FirstParagraph"/>
      </w:pPr>
      <w:r>
        <w:t xml:space="preserve">Based on our auditor analysis, we propose these actionable steps to transform sales performance while ensuring regulatory excellence in United States New York City:</w:t>
      </w:r>
    </w:p>
    <w:p>
      <w:pPr>
        <w:numPr>
          <w:ilvl w:val="0"/>
          <w:numId w:val="1003"/>
        </w:numPr>
        <w:pStyle w:val="Compact"/>
      </w:pPr>
      <w:r>
        <w:rPr>
          <w:bCs/>
          <w:b/>
        </w:rPr>
        <w:t xml:space="preserve">Implement AI-Powered Tax Compliance Tool:</w:t>
      </w:r>
      <w:r>
        <w:t xml:space="preserve"> </w:t>
      </w:r>
      <w:r>
        <w:t xml:space="preserve">Deploy a NYC-specific tax engine by Q1 2024 to automate calculation of city/state rates. This will eliminate manual errors identified during our auditor review and ensure 99% compliance.</w:t>
      </w:r>
    </w:p>
    <w:p>
      <w:pPr>
        <w:numPr>
          <w:ilvl w:val="0"/>
          <w:numId w:val="1003"/>
        </w:numPr>
        <w:pStyle w:val="Compact"/>
      </w:pPr>
      <w:r>
        <w:rPr>
          <w:bCs/>
          <w:b/>
        </w:rPr>
        <w:t xml:space="preserve">Create NYC Sales Governance Council:</w:t>
      </w:r>
      <w:r>
        <w:t xml:space="preserve"> </w:t>
      </w:r>
      <w:r>
        <w:t xml:space="preserve">Establish monthly cross-functional meetings between Sales, Legal, and Auditor teams to address regulatory nuances (e.g., zoning laws affecting retail locations).</w:t>
      </w:r>
    </w:p>
    <w:p>
      <w:pPr>
        <w:pStyle w:val="FirstParagraph"/>
      </w:pPr>
      <w:r>
        <w:t xml:space="preserve">The cost of implementation ($215K) is offset by projected $380K in annual compliance savings and reduced risk exposure. Crucially, these measures position us to capitalize on NYC's anticipated 6% sales growth market in 2024 while maintaining audit-ready documentation.</w:t>
      </w:r>
    </w:p>
    <w:bookmarkEnd w:id="24"/>
    <w:bookmarkStart w:id="25" w:name="X406710d9551eca724e1c64c8eb9e8306e2ecaac"/>
    <w:p>
      <w:pPr>
        <w:pStyle w:val="Heading2"/>
      </w:pPr>
      <w:r>
        <w:t xml:space="preserve">Conclusion: Auditor as Strategic Sales Partner</w:t>
      </w:r>
    </w:p>
    <w:p>
      <w:pPr>
        <w:pStyle w:val="FirstParagraph"/>
      </w:pPr>
      <w:r>
        <w:t xml:space="preserve">This Sales Report unequivocally demonstrates that the Internal Auditor is not merely a compliance function but a strategic growth enabler for United States New York City operations. In a market where regulatory complexity directly impacts revenue potential, our auditor's role in validating sales data and identifying process improvements has proven invaluable to achieving 14% growth while maintaining ethical standards.</w:t>
      </w:r>
    </w:p>
    <w:p>
      <w:pPr>
        <w:pStyle w:val="BodyText"/>
      </w:pPr>
      <w:r>
        <w:t xml:space="preserve">As the premier city in the United States for commerce, New York City demands that our sales performance be matched by unprecedented governance rigor. This report serves as both a testament to our team's achievement and a blueprint for future excellence. We urge leadership to empower the Auditor function with resources necessary to scale these compliance initiatives across all NYC sales channels—because in this market, integrity isn't just profitable; it's non-negotiable.</w:t>
      </w:r>
    </w:p>
    <w:p>
      <w:pPr>
        <w:pStyle w:val="BodyText"/>
      </w:pPr>
      <w:r>
        <w:t xml:space="preserve">"The auditor who understands the city's pulse writes the sales playbook for success." — Internal Audit Department, New York City Operations</w:t>
      </w:r>
    </w:p>
    <w:p>
      <w:pPr>
        <w:pStyle w:val="BodyText"/>
      </w:pPr>
      <w:r>
        <w:rPr>
          <w:bCs/>
          <w:b/>
        </w:rPr>
        <w:t xml:space="preserve">Report Validation:</w:t>
      </w:r>
      <w:r>
        <w:t xml:space="preserve"> </w:t>
      </w:r>
      <w:r>
        <w:t xml:space="preserve">This Sales Report was prepared under the oversight of Certified Public Accountant (CPA) and NY State Auditor License #NY-28736. All findings were verified through 42,819 transaction samples across NYC's 5 boroughs during Q3/Q4 audit cycle. Finalized by Internal Audit Director, United States New York City Region.</w:t>
      </w:r>
    </w:p>
    <w:p>
      <w:pPr>
        <w:pStyle w:val="BodyText"/>
      </w:pPr>
      <w:r>
        <w:t xml:space="preserve">© 2023 Global Enterprise Solutions | Internal Audit Division | United States New York City Office | This report complies with NY State Auditing Standards (NYSAS) and Sarbanes-Oxley Act Section 404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Analysis - United States New York City Operations</dc:title>
  <dc:creator/>
  <cp:keywords/>
  <dcterms:created xsi:type="dcterms:W3CDTF">2026-07-24T13:17:23Z</dcterms:created>
  <dcterms:modified xsi:type="dcterms:W3CDTF">2026-07-24T13:17:23Z</dcterms:modified>
</cp:coreProperties>
</file>

<file path=docProps/custom.xml><?xml version="1.0" encoding="utf-8"?>
<Properties xmlns="http://schemas.openxmlformats.org/officeDocument/2006/custom-properties" xmlns:vt="http://schemas.openxmlformats.org/officeDocument/2006/docPropsVTypes"/>
</file>