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Kuala</w:t>
      </w:r>
      <w:r>
        <w:t xml:space="preserve"> </w:t>
      </w:r>
      <w:r>
        <w:t xml:space="preserve">Lumpur,</w:t>
      </w:r>
      <w:r>
        <w:t xml:space="preserve"> </w:t>
      </w:r>
      <w:r>
        <w:t xml:space="preserve">Malaysia</w:t>
      </w:r>
    </w:p>
    <w:bookmarkStart w:id="29" w:name="X5071a9ca0f10806d933e2cda7da398ef07f5308"/>
    <w:p>
      <w:pPr>
        <w:pStyle w:val="Heading1"/>
      </w:pPr>
      <w:r>
        <w:t xml:space="preserve">Automotive Engineer Sales Performance Report: Driving Success in Kuala Lumpur, Malaysia</w:t>
      </w:r>
    </w:p>
    <w:bookmarkStart w:id="20" w:name="executive-summary"/>
    <w:p>
      <w:pPr>
        <w:pStyle w:val="Heading2"/>
      </w:pPr>
      <w:r>
        <w:t xml:space="preserve">Executive Summary</w:t>
      </w:r>
    </w:p>
    <w:p>
      <w:pPr>
        <w:pStyle w:val="FirstParagraph"/>
      </w:pPr>
      <w:r>
        <w:t xml:space="preserve">This comprehensive Sales Report details the pivotal role of Automotive Engineers within our strategic operations across Kuala Lumpur, Malaysia. As the automotive sector accelerates its transformation in Southeast Asia's most dynamic market, our Engineering team has become the cornerstone of sales innovation and customer satisfaction. This document analyzes current performance metrics, market dynamics, and future growth opportunities specific to Malaysia's automotive landscape – where engineering excellence directly translates to commercial success.</w:t>
      </w:r>
    </w:p>
    <w:bookmarkEnd w:id="20"/>
    <w:bookmarkStart w:id="21" w:name="X061bc47424b01b4c97a0a9aff73aa36837610da"/>
    <w:p>
      <w:pPr>
        <w:pStyle w:val="Heading2"/>
      </w:pPr>
      <w:r>
        <w:t xml:space="preserve">Market Context: Automotive Industry in Kuala Lumpur</w:t>
      </w:r>
    </w:p>
    <w:p>
      <w:pPr>
        <w:pStyle w:val="FirstParagraph"/>
      </w:pPr>
      <w:r>
        <w:t xml:space="preserve">Kuala Lumpur stands as the nerve center of Malaysia's automotive industry, contributing over 75% of the nation's vehicle production and accounting for 8.3% of GDP. With government initiatives like the National Automotive Policy (NAP) 2021-2030 driving electric vehicle adoption, our Kuala Lumpur operations are strategically positioned at the epicenter of this revolution. The city's status as a regional manufacturing hub – home to Proton, Perodua, and global OEMs like Toyota and Honda – creates unprecedented demand for specialized Automotive Engineers who can bridge technical innovation with commercial strategy.</w:t>
      </w:r>
    </w:p>
    <w:bookmarkEnd w:id="21"/>
    <w:bookmarkStart w:id="22" w:name="automotive-engineer-the-sales-catalyst"/>
    <w:p>
      <w:pPr>
        <w:pStyle w:val="Heading2"/>
      </w:pPr>
      <w:r>
        <w:t xml:space="preserve">Automotive Engineer: The Sales Catalyst</w:t>
      </w:r>
    </w:p>
    <w:p>
      <w:pPr>
        <w:pStyle w:val="FirstParagraph"/>
      </w:pPr>
      <w:r>
        <w:t xml:space="preserve">Contrary to traditional perceptions, our Automotive Engineers in Kuala Lumpur are not merely technical personnel – they are frontline sales drivers. Their dual expertise enables them to:</w:t>
      </w:r>
    </w:p>
    <w:p>
      <w:pPr>
        <w:numPr>
          <w:ilvl w:val="0"/>
          <w:numId w:val="1001"/>
        </w:numPr>
        <w:pStyle w:val="Compact"/>
      </w:pPr>
      <w:r>
        <w:rPr>
          <w:bCs/>
          <w:b/>
        </w:rPr>
        <w:t xml:space="preserve">Solution Architecture:</w:t>
      </w:r>
      <w:r>
        <w:t xml:space="preserve"> </w:t>
      </w:r>
      <w:r>
        <w:t xml:space="preserve">Translating complex technical specifications into client benefits for distributors and fleet operators</w:t>
      </w:r>
    </w:p>
    <w:p>
      <w:pPr>
        <w:numPr>
          <w:ilvl w:val="0"/>
          <w:numId w:val="1001"/>
        </w:numPr>
        <w:pStyle w:val="Compact"/>
      </w:pPr>
      <w:r>
        <w:rPr>
          <w:bCs/>
          <w:b/>
        </w:rPr>
        <w:t xml:space="preserve">Trust Building:</w:t>
      </w:r>
      <w:r>
        <w:t xml:space="preserve"> </w:t>
      </w:r>
      <w:r>
        <w:t xml:space="preserve">Providing OEM-level validation that accelerates deal closures in Malaysia's relationship-driven market</w:t>
      </w:r>
    </w:p>
    <w:p>
      <w:pPr>
        <w:numPr>
          <w:ilvl w:val="0"/>
          <w:numId w:val="1001"/>
        </w:numPr>
        <w:pStyle w:val="Compact"/>
      </w:pPr>
      <w:r>
        <w:rPr>
          <w:bCs/>
          <w:b/>
        </w:rPr>
        <w:t xml:space="preserve">Cross-Selling Opportunities:</w:t>
      </w:r>
      <w:r>
        <w:t xml:space="preserve"> </w:t>
      </w:r>
      <w:r>
        <w:t xml:space="preserve">Identifying after-sales service needs during technical consultations (e.g., EV battery maintenance packages)</w:t>
      </w:r>
    </w:p>
    <w:p>
      <w:pPr>
        <w:pStyle w:val="FirstParagraph"/>
      </w:pPr>
      <w:r>
        <w:t xml:space="preserve">In the past fiscal year, Engineering-led sales initiatives generated RM 142 million in revenue – representing 38% of total automotive division growth. This demonstrates how deeply embedded our Automotive Engineer role is within Malaysia's sales ecosystem.</w:t>
      </w:r>
    </w:p>
    <w:bookmarkEnd w:id="22"/>
    <w:bookmarkStart w:id="23" w:name="key-sales-performance-metrics-q3-q4-2023"/>
    <w:p>
      <w:pPr>
        <w:pStyle w:val="Heading2"/>
      </w:pPr>
      <w:r>
        <w:t xml:space="preserve">Key Sales Performance Metrics (Q3-Q4 2023)</w:t>
      </w:r>
    </w:p>
    <w:p>
      <w:pPr>
        <w:pStyle w:val="FirstParagraph"/>
      </w:pPr>
      <w:r>
        <w:t xml:space="preserve">Performance Indicator</w:t>
      </w:r>
    </w:p>
    <w:p>
      <w:pPr>
        <w:pStyle w:val="BodyText"/>
      </w:pPr>
      <w:r>
        <w:t xml:space="preserve">Kuala Lumpur Results</w:t>
      </w:r>
    </w:p>
    <w:p>
      <w:pPr>
        <w:pStyle w:val="BodyText"/>
      </w:pPr>
      <w:r>
        <w:t xml:space="preserve">Industry Benchmark (Malaysia)</w:t>
      </w:r>
    </w:p>
    <w:p>
      <w:pPr>
        <w:pStyle w:val="BodyText"/>
      </w:pPr>
      <w:r>
        <w:t xml:space="preserve">Variance</w:t>
      </w:r>
    </w:p>
    <w:p>
      <w:pPr>
        <w:pStyle w:val="BodyText"/>
      </w:pPr>
      <w:r>
        <w:t xml:space="preserve">Sales Cycle Duration</w:t>
      </w:r>
    </w:p>
    <w:p>
      <w:pPr>
        <w:pStyle w:val="BodyText"/>
      </w:pPr>
      <w:r>
        <w:t xml:space="preserve">42 days</w:t>
      </w:r>
    </w:p>
    <w:p>
      <w:pPr>
        <w:pStyle w:val="BodyText"/>
      </w:pPr>
      <w:r>
        <w:t xml:space="preserve">63 days</w:t>
      </w:r>
    </w:p>
    <w:p>
      <w:pPr>
        <w:pStyle w:val="BodyText"/>
      </w:pPr>
      <w:r>
        <w:t xml:space="preserve">-34%</w:t>
      </w:r>
    </w:p>
    <w:p>
      <w:pPr>
        <w:pStyle w:val="BodyText"/>
      </w:pPr>
      <w:r>
        <w:t xml:space="preserve">Cross-Sell Rate (Engineers)</w:t>
      </w:r>
    </w:p>
    <w:p>
      <w:pPr>
        <w:pStyle w:val="BodyText"/>
      </w:pPr>
      <w:r>
        <w:t xml:space="preserve">67%</w:t>
      </w:r>
    </w:p>
    <w:p>
      <w:pPr>
        <w:pStyle w:val="BodyText"/>
      </w:pPr>
      <w:r>
        <w:t xml:space="preserve">Metric Name</w:t>
      </w:r>
    </w:p>
    <w:p>
      <w:pPr>
        <w:pStyle w:val="BodyText"/>
      </w:pPr>
      <w:r>
        <w:t xml:space="preserve">Kuala Lumpur Result</w:t>
      </w:r>
    </w:p>
    <w:p>
      <w:pPr>
        <w:pStyle w:val="BodyText"/>
      </w:pPr>
      <w:r>
        <w:t xml:space="preserve">Client Retention Rate</w:t>
      </w:r>
    </w:p>
    <w:p>
      <w:pPr>
        <w:pStyle w:val="BodyText"/>
      </w:pPr>
      <w:r>
        <w:t xml:space="preserve">92%</w:t>
      </w:r>
    </w:p>
    <w:p>
      <w:pPr>
        <w:pStyle w:val="BodyText"/>
      </w:pPr>
      <w:r>
        <w:t xml:space="preserve">Engineering-Driven Deal Value</w:t>
      </w:r>
    </w:p>
    <w:p>
      <w:pPr>
        <w:pStyle w:val="BodyText"/>
      </w:pPr>
      <w:r>
        <w:t xml:space="preserve">RM 187,000 avg./deal</w:t>
      </w:r>
    </w:p>
    <w:p>
      <w:pPr>
        <w:pStyle w:val="BodyText"/>
      </w:pPr>
      <w:r>
        <w:t xml:space="preserve">New Market Penetration (EV Segment)</w:t>
      </w:r>
    </w:p>
    <w:p>
      <w:pPr>
        <w:pStyle w:val="BodyText"/>
      </w:pPr>
      <w:r>
        <w:t xml:space="preserve">+43% YoY</w:t>
      </w:r>
    </w:p>
    <w:bookmarkEnd w:id="23"/>
    <w:bookmarkStart w:id="24" w:name="X67cd0b8300c39bec79a0b00a9c57343e574cdbf"/>
    <w:p>
      <w:pPr>
        <w:pStyle w:val="Heading2"/>
      </w:pPr>
      <w:r>
        <w:t xml:space="preserve">Malaysia-Specific Success Story: EV Fleet Integration</w:t>
      </w:r>
    </w:p>
    <w:p>
      <w:pPr>
        <w:pStyle w:val="FirstParagraph"/>
      </w:pPr>
      <w:r>
        <w:t xml:space="preserve">A standout example is our collaboration with Malaysia's largest logistics provider, Lalamove. Our Kuala Lumpur Automotive Engineers designed a customized electric fleet solution that addressed three critical Malaysian market pain points:</w:t>
      </w:r>
    </w:p>
    <w:p>
      <w:pPr>
        <w:numPr>
          <w:ilvl w:val="0"/>
          <w:numId w:val="1002"/>
        </w:numPr>
        <w:pStyle w:val="Compact"/>
      </w:pPr>
      <w:r>
        <w:rPr>
          <w:bCs/>
          <w:b/>
        </w:rPr>
        <w:t xml:space="preserve">Heat Resilience:</w:t>
      </w:r>
      <w:r>
        <w:t xml:space="preserve"> </w:t>
      </w:r>
      <w:r>
        <w:t xml:space="preserve">Modified battery thermal systems for KL's 35°C average temperatures</w:t>
      </w:r>
    </w:p>
    <w:p>
      <w:pPr>
        <w:numPr>
          <w:ilvl w:val="0"/>
          <w:numId w:val="1002"/>
        </w:numPr>
        <w:pStyle w:val="Compact"/>
      </w:pPr>
      <w:r>
        <w:rPr>
          <w:bCs/>
          <w:b/>
        </w:rPr>
        <w:t xml:space="preserve">Charging Infrastructure Integration:</w:t>
      </w:r>
      <w:r>
        <w:t xml:space="preserve"> </w:t>
      </w:r>
      <w:r>
        <w:t xml:space="preserve">Coordinated with MYEG to utilize Malaysia's expanding public charging network</w:t>
      </w:r>
    </w:p>
    <w:p>
      <w:pPr>
        <w:numPr>
          <w:ilvl w:val="0"/>
          <w:numId w:val="1002"/>
        </w:numPr>
        <w:pStyle w:val="Compact"/>
      </w:pPr>
      <w:r>
        <w:rPr>
          <w:bCs/>
          <w:b/>
        </w:rPr>
        <w:t xml:space="preserve">Cultural Adaptation:</w:t>
      </w:r>
      <w:r>
        <w:t xml:space="preserve"> </w:t>
      </w:r>
      <w:r>
        <w:t xml:space="preserve">Designed driver interfaces with Bahasa Melayu and Malay script for local operators</w:t>
      </w:r>
    </w:p>
    <w:p>
      <w:pPr>
        <w:pStyle w:val="FirstParagraph"/>
      </w:pPr>
      <w:r>
        <w:t xml:space="preserve">This project yielded a RM 85 million contract – the largest single sale in our Kuala Lumpur office's history. Crucially, the Automotive Engineer team maintained client engagement throughout implementation, reducing post-sale service requests by 76% compared to industry averages.</w:t>
      </w:r>
    </w:p>
    <w:bookmarkEnd w:id="24"/>
    <w:bookmarkStart w:id="25" w:name="challenges-in-the-malaysian-market"/>
    <w:p>
      <w:pPr>
        <w:pStyle w:val="Heading2"/>
      </w:pPr>
      <w:r>
        <w:t xml:space="preserve">Challenges in the Malaysian Market</w:t>
      </w:r>
    </w:p>
    <w:p>
      <w:pPr>
        <w:pStyle w:val="FirstParagraph"/>
      </w:pPr>
      <w:r>
        <w:t xml:space="preserve">Despite strong performance, we face three critical challenges unique to Malaysia:</w:t>
      </w:r>
    </w:p>
    <w:p>
      <w:pPr>
        <w:numPr>
          <w:ilvl w:val="0"/>
          <w:numId w:val="1003"/>
        </w:numPr>
        <w:pStyle w:val="Compact"/>
      </w:pPr>
      <w:r>
        <w:rPr>
          <w:bCs/>
          <w:b/>
        </w:rPr>
        <w:t xml:space="preserve">Talent Gap:</w:t>
      </w:r>
      <w:r>
        <w:t xml:space="preserve"> </w:t>
      </w:r>
      <w:r>
        <w:t xml:space="preserve">Only 14% of Malaysian Automotive Engineers possess full EV system certification (vs. 52% in Japan)</w:t>
      </w:r>
    </w:p>
    <w:p>
      <w:pPr>
        <w:numPr>
          <w:ilvl w:val="0"/>
          <w:numId w:val="1003"/>
        </w:numPr>
        <w:pStyle w:val="Compact"/>
      </w:pPr>
      <w:r>
        <w:rPr>
          <w:bCs/>
          <w:b/>
        </w:rPr>
        <w:t xml:space="preserve">Regulatory Complexity:</w:t>
      </w:r>
      <w:r>
        <w:t xml:space="preserve"> </w:t>
      </w:r>
      <w:r>
        <w:t xml:space="preserve">Navigating PERMATA's new EV safety standards requires specialized engineering knowledge</w:t>
      </w:r>
    </w:p>
    <w:p>
      <w:pPr>
        <w:numPr>
          <w:ilvl w:val="0"/>
          <w:numId w:val="1003"/>
        </w:numPr>
        <w:pStyle w:val="Compact"/>
      </w:pPr>
      <w:r>
        <w:rPr>
          <w:bCs/>
          <w:b/>
        </w:rPr>
        <w:t xml:space="preserve">Cultural Nuances:</w:t>
      </w:r>
      <w:r>
        <w:t xml:space="preserve"> </w:t>
      </w:r>
      <w:r>
        <w:t xml:space="preserve">Sales approach must align with Malay business etiquette (e.g., avoiding direct 'no' responses)</w:t>
      </w:r>
    </w:p>
    <w:bookmarkEnd w:id="25"/>
    <w:bookmarkStart w:id="26" w:name="X478eab863dd5929c88780f37e716817b16576f5"/>
    <w:p>
      <w:pPr>
        <w:pStyle w:val="Heading2"/>
      </w:pPr>
      <w:r>
        <w:t xml:space="preserve">Strategic Recommendations for Kuala Lumpur Operations</w:t>
      </w:r>
    </w:p>
    <w:p>
      <w:pPr>
        <w:pStyle w:val="FirstParagraph"/>
      </w:pPr>
      <w:r>
        <w:t xml:space="preserve">To capitalize on Malaysia's automotive growth, we propose:</w:t>
      </w:r>
    </w:p>
    <w:p>
      <w:pPr>
        <w:numPr>
          <w:ilvl w:val="0"/>
          <w:numId w:val="1004"/>
        </w:numPr>
        <w:pStyle w:val="Compact"/>
      </w:pPr>
      <w:r>
        <w:rPr>
          <w:bCs/>
          <w:b/>
        </w:rPr>
        <w:t xml:space="preserve">Malaysian EV Engineering Certification Program:</w:t>
      </w:r>
      <w:r>
        <w:t xml:space="preserve"> </w:t>
      </w:r>
      <w:r>
        <w:t xml:space="preserve">Partner with Universiti Teknologi Malaysia to develop local certification pathways – targeting 100% of new hires by Q2 2025</w:t>
      </w:r>
    </w:p>
    <w:p>
      <w:pPr>
        <w:numPr>
          <w:ilvl w:val="0"/>
          <w:numId w:val="1004"/>
        </w:numPr>
        <w:pStyle w:val="Compact"/>
      </w:pPr>
      <w:r>
        <w:rPr>
          <w:bCs/>
          <w:b/>
        </w:rPr>
        <w:t xml:space="preserve">Cultural Intelligence Training:</w:t>
      </w:r>
      <w:r>
        <w:t xml:space="preserve"> </w:t>
      </w:r>
      <w:r>
        <w:t xml:space="preserve">Mandatory workshops on Malay business customs for all sales-adjacent engineering staff in KL</w:t>
      </w:r>
    </w:p>
    <w:p>
      <w:pPr>
        <w:numPr>
          <w:ilvl w:val="0"/>
          <w:numId w:val="1004"/>
        </w:numPr>
        <w:pStyle w:val="Compact"/>
      </w:pPr>
      <w:r>
        <w:rPr>
          <w:bCs/>
          <w:b/>
        </w:rPr>
        <w:t xml:space="preserve">Infrastructure Partnerships:</w:t>
      </w:r>
      <w:r>
        <w:t xml:space="preserve"> </w:t>
      </w:r>
      <w:r>
        <w:t xml:space="preserve">Formalize collaboration with Malaysia's EV charging network providers (e.g., Tenaga Nasional) to co-develop solutions</w:t>
      </w:r>
    </w:p>
    <w:bookmarkEnd w:id="26"/>
    <w:bookmarkStart w:id="27" w:name="Xe2753a8f97e9ecfa4b5efefa7372a7300e72f2d"/>
    <w:p>
      <w:pPr>
        <w:pStyle w:val="Heading2"/>
      </w:pPr>
      <w:r>
        <w:t xml:space="preserve">The Future: Automotive Engineers as Sales Architects</w:t>
      </w:r>
    </w:p>
    <w:p>
      <w:pPr>
        <w:pStyle w:val="FirstParagraph"/>
      </w:pPr>
      <w:r>
        <w:t xml:space="preserve">In Kuala Lumpur's competitive market, the role of Automotive Engineer has evolved beyond technical support. By Q4 2025, we project that 70% of all major automotive sales will be driven by engineer-led solutioning – a direct response to Malaysia's shift toward high-value, technology-integrated vehicle purchases. The data is clear: when our Kuala Lumpur Automotive Engineers engage early in the sales cycle (average 3 weeks before quote submission), deal conversion increases by 54%.</w:t>
      </w:r>
    </w:p>
    <w:bookmarkEnd w:id="27"/>
    <w:bookmarkStart w:id="28" w:name="conclusion"/>
    <w:p>
      <w:pPr>
        <w:pStyle w:val="Heading2"/>
      </w:pPr>
      <w:r>
        <w:t xml:space="preserve">Conclusion</w:t>
      </w:r>
    </w:p>
    <w:p>
      <w:pPr>
        <w:pStyle w:val="FirstParagraph"/>
      </w:pPr>
      <w:r>
        <w:t xml:space="preserve">This Sales Report underscores that in Malaysia's vibrant automotive ecosystem, particularly within Kuala Lumpur's strategic hub, Automotive Engineers are not support staff but revenue architects. Their technical mastery combined with market-specific insights has driven exceptional sales performance, directly contributing to our position as the leading engineering solutions provider in Southeast Asia. As Malaysia accelerates toward its EV targets under NAP 2025, this integrated approach – where engineering excellence fuels commercial success – will remain the differentiator that secures our competitive edge across Kuala Lumpur and beyond.</w:t>
      </w:r>
    </w:p>
    <w:p>
      <w:pPr>
        <w:pStyle w:val="BodyText"/>
      </w:pPr>
      <w:r>
        <w:t xml:space="preserve">With strategic investment in localized engineering capabilities and cultural intelligence, our Automotive Engineer team is positioned to capture RM 3.2 billion in new sales opportunity within Malaysia by 2026 – making them the single most critical asset in our Southeast Asian growth strategy.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 Sales Performance Report: Kuala Lumpur, Malaysia</dc:title>
  <dc:creator/>
  <dc:language>en</dc:language>
  <cp:keywords/>
  <dcterms:created xsi:type="dcterms:W3CDTF">2026-07-23T20:30:12Z</dcterms:created>
  <dcterms:modified xsi:type="dcterms:W3CDTF">2026-07-23T20:30:12Z</dcterms:modified>
</cp:coreProperties>
</file>

<file path=docProps/custom.xml><?xml version="1.0" encoding="utf-8"?>
<Properties xmlns="http://schemas.openxmlformats.org/officeDocument/2006/custom-properties" xmlns:vt="http://schemas.openxmlformats.org/officeDocument/2006/docPropsVTypes"/>
</file>