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Argentina</w:t>
      </w:r>
      <w:r>
        <w:t xml:space="preserve"> </w:t>
      </w:r>
      <w:r>
        <w:t xml:space="preserve">Córdoba</w:t>
      </w:r>
    </w:p>
    <w:bookmarkStart w:id="28" w:name="X46a2a9d69b85ca160ed157883fe959a9831636b"/>
    <w:p>
      <w:pPr>
        <w:pStyle w:val="Heading1"/>
      </w:pPr>
      <w:r>
        <w:t xml:space="preserve">Sales Report: Comprehensive Analysis of Baker Operations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Baker Operations</w:t>
      </w:r>
      <w:r>
        <w:br/>
      </w:r>
      <w:r>
        <w:rPr>
          <w:bCs/>
          <w:b/>
        </w:rPr>
        <w:t xml:space="preserve">Location:</w:t>
      </w:r>
      <w:r>
        <w:t xml:space="preserve"> </w:t>
      </w:r>
      <w:r>
        <w:t xml:space="preserve">Argentina Córdoba</w:t>
      </w:r>
    </w:p>
    <w:bookmarkStart w:id="20" w:name="i.-executive-summary"/>
    <w:p>
      <w:pPr>
        <w:pStyle w:val="Heading2"/>
      </w:pPr>
      <w:r>
        <w:t xml:space="preserve">I. Executive Summary</w:t>
      </w:r>
    </w:p>
    <w:p>
      <w:pPr>
        <w:pStyle w:val="FirstParagraph"/>
      </w:pPr>
      <w:r>
        <w:t xml:space="preserve">This Sales Report details the operational performance of our premium bakery chain across the vibrant region of Argentina Córdoba for Q3 2023. The Baker operations have demonstrated resilient growth, achieving a 14% year-over-year increase in revenue despite regional economic headwinds. This success is directly attributed to deep cultural alignment with Córdoba's unique culinary preferences, strategic neighborhood positioning, and product innovation rooted in local traditions. The Sales Report confirms that our commitment to authenticity—particularly in crafting artisanal breads and pastries beloved by Cordobesan consumers—has solidified the Baker brand as a community cornerstone.</w:t>
      </w:r>
    </w:p>
    <w:bookmarkEnd w:id="20"/>
    <w:bookmarkStart w:id="21" w:name="X84522598e5cc4c6bf8c53535ade1ae3e3ce0b76"/>
    <w:p>
      <w:pPr>
        <w:pStyle w:val="Heading2"/>
      </w:pPr>
      <w:r>
        <w:t xml:space="preserve">II. Regional Market Context: Argentina Córdoba</w:t>
      </w:r>
    </w:p>
    <w:p>
      <w:pPr>
        <w:pStyle w:val="FirstParagraph"/>
      </w:pPr>
      <w:r>
        <w:t xml:space="preserve">Argentina Córdoba, the second-largest province by population, presents a distinct market with strong local identity. The region's agricultural economy (notably wheat and dairy production) fuels demand for high-quality baked goods. Unlike metropolitan Buenos Aires, Córdoba’s consumers prioritize traditional recipes like *medialunas*, *facturas*, and *pan de muerto* during festivals such as Día de los Muertos. Our Baker outlets strategically leverage this cultural context: 78% of sales occur in neighborhoods with high population density (e.g., Villa María, Río Cuarto, and the historic center of Córdoba city), where daily bakery visits are a social ritual. The Sales Report underscores that understanding local consumption rhythms—such as early-morning *desayuno* demand and afternoon coffee breaks (*sobremesa*)—is critical to success.</w:t>
      </w:r>
    </w:p>
    <w:bookmarkEnd w:id="21"/>
    <w:bookmarkStart w:id="22" w:name="iii.-product-performance-analysis"/>
    <w:p>
      <w:pPr>
        <w:pStyle w:val="Heading2"/>
      </w:pPr>
      <w:r>
        <w:t xml:space="preserve">III. Product Performance Analysis</w:t>
      </w:r>
    </w:p>
    <w:p>
      <w:pPr>
        <w:pStyle w:val="FirstParagraph"/>
      </w:pPr>
      <w:r>
        <w:rPr>
          <w:bCs/>
          <w:b/>
        </w:rPr>
        <w:t xml:space="preserve">Core Bread Line:</w:t>
      </w:r>
      <w:r>
        <w:t xml:space="preserve"> </w:t>
      </w:r>
      <w:r>
        <w:t xml:space="preserve">Sourdough loaves, regional wheat-based *pan de centeno*, and gluten-free options saw the highest growth (+19%). This directly responds to Córdoba’s trend toward artisanal quality; 65% of bread sales occurred before 10:00 AM, reflecting breakfast-centric consumption patterns.</w:t>
      </w:r>
    </w:p>
    <w:p>
      <w:pPr>
        <w:pStyle w:val="BodyText"/>
      </w:pPr>
      <w:r>
        <w:rPr>
          <w:bCs/>
          <w:b/>
        </w:rPr>
        <w:t xml:space="preserve">Pastries &amp; Specialties:</w:t>
      </w:r>
      <w:r>
        <w:t xml:space="preserve"> </w:t>
      </w:r>
      <w:r>
        <w:t xml:space="preserve">*Facturas* (filled pastries) drove 42% of revenue. The seasonal "Córdoba Strawberry Jam" *factura* sold out weekly during the summer fruit harvest—a clear example of product adaptation to local agriculture. *Medialunas con dulce de leche*, a regional staple, represented 35% of pastry sales, confirming our Baker’s authenticity in traditional offerings.</w:t>
      </w:r>
    </w:p>
    <w:p>
      <w:pPr>
        <w:pStyle w:val="BodyText"/>
      </w:pPr>
      <w:r>
        <w:rPr>
          <w:bCs/>
          <w:b/>
        </w:rPr>
        <w:t xml:space="preserve">Custom Orders:</w:t>
      </w:r>
      <w:r>
        <w:t xml:space="preserve"> </w:t>
      </w:r>
      <w:r>
        <w:t xml:space="preserve">Wedding cakes and event breads grew by 27%, driven by Córdoba’s strong wedding culture. The Sales Report notes that personalized orders (e.g., incorporating *tortas fritas* motifs) increased customer retention by 31%.</w:t>
      </w:r>
    </w:p>
    <w:bookmarkEnd w:id="22"/>
    <w:bookmarkStart w:id="23" w:name="iv.-operational-metrics"/>
    <w:p>
      <w:pPr>
        <w:pStyle w:val="Heading2"/>
      </w:pPr>
      <w:r>
        <w:t xml:space="preserve">IV. Operational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$187,500</w:t>
            </w:r>
          </w:p>
        </w:tc>
        <w:tc>
          <w:tcPr/>
          <w:p>
            <w:pPr>
              <w:pStyle w:val="Compact"/>
              <w:jc w:val="left"/>
            </w:pPr>
            <w:r>
              <w:t xml:space="preserve">+14%</w:t>
            </w:r>
          </w:p>
        </w:tc>
      </w:tr>
      <w:tr>
        <w:tc>
          <w:tcPr/>
          <w:p>
            <w:pPr>
              <w:pStyle w:val="Compact"/>
              <w:jc w:val="left"/>
            </w:pPr>
            <w:r>
              <w:t xml:space="preserve">Average Transaction Value</w:t>
            </w:r>
          </w:p>
        </w:tc>
        <w:tc>
          <w:tcPr/>
          <w:p>
            <w:pPr>
              <w:pStyle w:val="Compact"/>
              <w:jc w:val="left"/>
            </w:pPr>
            <w:r>
              <w:t xml:space="preserve">$9.25</w:t>
            </w:r>
          </w:p>
        </w:tc>
        <w:tc>
          <w:tcPr/>
          <w:p>
            <w:pPr>
              <w:pStyle w:val="Compact"/>
              <w:jc w:val="left"/>
            </w:pPr>
            <w:r>
              <w:t xml:space="preserve">+6%</w:t>
            </w:r>
          </w:p>
        </w:tc>
      </w:tr>
      <w:tr>
        <w:tc>
          <w:tcPr/>
          <w:p>
            <w:pPr>
              <w:pStyle w:val="Compact"/>
              <w:jc w:val="left"/>
            </w:pPr>
            <w:r>
              <w:t xml:space="preserve">Customer Traffic (Daily)</w:t>
            </w:r>
          </w:p>
        </w:tc>
        <w:tc>
          <w:tcPr/>
          <w:p>
            <w:pPr>
              <w:pStyle w:val="Compact"/>
              <w:jc w:val="left"/>
            </w:pPr>
            <w:r>
              <w:t xml:space="preserve">420</w:t>
            </w:r>
          </w:p>
        </w:tc>
        <w:tc>
          <w:tcPr/>
          <w:p>
            <w:pPr>
              <w:pStyle w:val="Compact"/>
              <w:jc w:val="left"/>
            </w:pPr>
            <w:r>
              <w:t xml:space="preserve">+11%</w:t>
            </w:r>
          </w:p>
        </w:tc>
      </w:tr>
      <w:tr>
        <w:tc>
          <w:tcPr/>
          <w:p>
            <w:pPr>
              <w:pStyle w:val="Compact"/>
              <w:jc w:val="left"/>
            </w:pPr>
            <w:r>
              <w:t xml:space="preserve">New Customer Acquisition</w:t>
            </w:r>
          </w:p>
        </w:tc>
        <w:tc>
          <w:tcPr/>
          <w:p>
            <w:pPr>
              <w:pStyle w:val="Compact"/>
              <w:jc w:val="left"/>
            </w:pPr>
            <w:r>
              <w:t xml:space="preserve">28% of total sales</w:t>
            </w:r>
          </w:p>
        </w:tc>
        <w:tc>
          <w:tcPr/>
          <w:p>
            <w:pPr>
              <w:pStyle w:val="Compact"/>
              <w:jc w:val="left"/>
            </w:pPr>
            <w:r>
              <w:t xml:space="preserve">+9%</w:t>
            </w:r>
          </w:p>
        </w:tc>
      </w:tr>
    </w:tbl>
    <w:bookmarkEnd w:id="23"/>
    <w:bookmarkStart w:id="24" w:name="Xb80ceda12836adae447bcdd1e64a0d487173b56"/>
    <w:p>
      <w:pPr>
        <w:pStyle w:val="Heading2"/>
      </w:pPr>
      <w:r>
        <w:t xml:space="preserve">V. Key Success Factors for Baker in Argentina Córdoba</w:t>
      </w:r>
    </w:p>
    <w:p>
      <w:pPr>
        <w:pStyle w:val="FirstParagraph"/>
      </w:pPr>
      <w:r>
        <w:t xml:space="preserve">1. **Cultural Integration:** The Baker’s menu exclusively features Cordobesan-inspired recipes, avoiding generic national offerings. For instance, *pan con bombón* (a local favorite) was reintroduced after customer surveys confirmed its importance to regional identity.</w:t>
      </w:r>
    </w:p>
    <w:p>
      <w:pPr>
        <w:pStyle w:val="BodyText"/>
      </w:pPr>
      <w:r>
        <w:t xml:space="preserve">2. **Local Sourcing:** 85% of ingredients (e.g., dairy from Córdoba’s *lactoindustria*, wheat from nearby farms) are procured within the province. This reduces costs by 12% and aligns with consumer preferences for hyper-local products, as noted in our Sales Report.</w:t>
      </w:r>
    </w:p>
    <w:p>
      <w:pPr>
        <w:pStyle w:val="BodyText"/>
      </w:pPr>
      <w:r>
        <w:t xml:space="preserve">3. **Community Engagement:** The Baker partners with local schools for "Baking Workshops" and sponsors *ferias gastronómicas* (food fairs) across Córdoba. This generated 18% of new customers and cemented the brand as a community asset, not just a business.</w:t>
      </w:r>
    </w:p>
    <w:bookmarkEnd w:id="24"/>
    <w:bookmarkStart w:id="25" w:name="vi.-challenges-strategic-response"/>
    <w:p>
      <w:pPr>
        <w:pStyle w:val="Heading2"/>
      </w:pPr>
      <w:r>
        <w:t xml:space="preserve">VI. Challenges &amp; Strategic Response</w:t>
      </w:r>
    </w:p>
    <w:p>
      <w:pPr>
        <w:pStyle w:val="FirstParagraph"/>
      </w:pPr>
      <w:r>
        <w:t xml:space="preserve">The Sales Report identifies two key challenges:</w:t>
      </w:r>
      <w:r>
        <w:t xml:space="preserve"> </w:t>
      </w:r>
      <w:r>
        <w:rPr>
          <w:bCs/>
          <w:b/>
        </w:rPr>
        <w:t xml:space="preserve">(a)</w:t>
      </w:r>
      <w:r>
        <w:t xml:space="preserve"> </w:t>
      </w:r>
      <w:r>
        <w:t xml:space="preserve">Inflation-driven flour cost hikes (18% YoY), and</w:t>
      </w:r>
      <w:r>
        <w:t xml:space="preserve"> </w:t>
      </w:r>
      <w:r>
        <w:rPr>
          <w:bCs/>
          <w:b/>
        </w:rPr>
        <w:t xml:space="preserve">(b)</w:t>
      </w:r>
      <w:r>
        <w:t xml:space="preserve"> </w:t>
      </w:r>
      <w:r>
        <w:t xml:space="preserve">Competition from local *panaderías* in smaller towns like Villa Allende.</w:t>
      </w:r>
      <w:r>
        <w:t xml:space="preserve"> </w:t>
      </w:r>
      <w:r>
        <w:t xml:space="preserve">Our response was multi-faceted:</w:t>
      </w:r>
      <w:r>
        <w:t xml:space="preserve"> </w:t>
      </w:r>
      <w:r>
        <w:t xml:space="preserve">- Implemented a dynamic pricing model for core breads, avoiding price increases above 5% while absorbing 70% of cost volatility through operational efficiency.</w:t>
      </w:r>
      <w:r>
        <w:t xml:space="preserve"> </w:t>
      </w:r>
      <w:r>
        <w:t xml:space="preserve">- Launched a "Córdoba Heritage" loyalty program (e.g., discounts on traditional items), which retained 92% of existing customers during inflationary pressure.</w:t>
      </w:r>
    </w:p>
    <w:bookmarkEnd w:id="25"/>
    <w:bookmarkStart w:id="26" w:name="X5686df082bf30fdd5524c24223123764b6e8410"/>
    <w:p>
      <w:pPr>
        <w:pStyle w:val="Heading2"/>
      </w:pPr>
      <w:r>
        <w:t xml:space="preserve">VII. Future Outlook for Baker Operations in Argentina Córdoba</w:t>
      </w:r>
    </w:p>
    <w:p>
      <w:pPr>
        <w:pStyle w:val="FirstParagraph"/>
      </w:pPr>
      <w:r>
        <w:t xml:space="preserve">Based on Q3 trends, the Baker projects 16–18% revenue growth for Q4 2023. Strategic priorities include:</w:t>
      </w:r>
      <w:r>
        <w:t xml:space="preserve"> </w:t>
      </w:r>
      <w:r>
        <w:t xml:space="preserve">- Opening a second outlet in the growing *barrio San Justo* (Córdoba city), where population growth outpaces bakery infrastructure.</w:t>
      </w:r>
      <w:r>
        <w:t xml:space="preserve"> </w:t>
      </w:r>
      <w:r>
        <w:t xml:space="preserve">- Introducing *empanadas de membrillo* (quince jam) as a limited-time offer for Córdoba’s annual *Fiesta del Mote* festival.</w:t>
      </w:r>
      <w:r>
        <w:t xml:space="preserve"> </w:t>
      </w:r>
      <w:r>
        <w:t xml:space="preserve">- Expanding the "Local Farmer Partnership" program to include 15 new suppliers by Q2 2024, enhancing sustainability and community ties.</w:t>
      </w:r>
    </w:p>
    <w:bookmarkEnd w:id="26"/>
    <w:bookmarkStart w:id="27" w:name="viii.-conclusion"/>
    <w:p>
      <w:pPr>
        <w:pStyle w:val="Heading2"/>
      </w:pPr>
      <w:r>
        <w:t xml:space="preserve">VIII. Conclusion</w:t>
      </w:r>
    </w:p>
    <w:p>
      <w:pPr>
        <w:pStyle w:val="FirstParagraph"/>
      </w:pPr>
      <w:r>
        <w:t xml:space="preserve">This Sales Report unequivocally demonstrates that the Baker’s success in Argentina Córdoba is rooted in cultural authenticity and hyper-local operational alignment. By prioritizing regional tastes—like *facturas* with local ingredients, or adapting to Córdoba’s social rhythms—we have transformed from a bakery into a community institution. The data confirms that for any baker operating in Argentina Córdoba, understanding the province’s identity isn’t just beneficial—it’s non-negotiable. As one customer remarked at our Villa María outlet: *"They bake like my *abuela* would, but with flour from our own farms."* This sentiment is the heartbeat of every sale captured in this Sales Report.</w:t>
      </w:r>
    </w:p>
    <w:p>
      <w:pPr>
        <w:pStyle w:val="BodyText"/>
      </w:pPr>
      <w:r>
        <w:rPr>
          <w:bCs/>
          <w:b/>
        </w:rPr>
        <w:t xml:space="preserve">Prepared by:</w:t>
      </w:r>
      <w:r>
        <w:t xml:space="preserve"> </w:t>
      </w:r>
      <w:r>
        <w:t xml:space="preserve">Maria Sánchez, Regional Sales Director</w:t>
      </w:r>
      <w:r>
        <w:br/>
      </w:r>
      <w:r>
        <w:rPr>
          <w:bCs/>
          <w:b/>
        </w:rPr>
        <w:t xml:space="preserve">Contact:</w:t>
      </w:r>
      <w:r>
        <w:t xml:space="preserve"> </w:t>
      </w:r>
      <w:r>
        <w:t xml:space="preserve">maria.sanchez@bakerargentina.com</w:t>
      </w:r>
      <w:r>
        <w:br/>
      </w:r>
      <w:r>
        <w:rPr>
          <w:iCs/>
          <w:i/>
        </w:rPr>
        <w:t xml:space="preserve">This report covers operations across 12 bakeries in Argentina Córdoba, serving 58,000+ monthly customers.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Argentina Córdoba</dc:title>
  <dc:creator/>
  <dc:language>en</dc:language>
  <cp:keywords/>
  <dcterms:created xsi:type="dcterms:W3CDTF">2025-12-11T05:47:57Z</dcterms:created>
  <dcterms:modified xsi:type="dcterms:W3CDTF">2025-12-11T05:47:57Z</dcterms:modified>
</cp:coreProperties>
</file>

<file path=docProps/custom.xml><?xml version="1.0" encoding="utf-8"?>
<Properties xmlns="http://schemas.openxmlformats.org/officeDocument/2006/custom-properties" xmlns:vt="http://schemas.openxmlformats.org/officeDocument/2006/docPropsVTypes"/>
</file>