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29" w:name="X6e2847cf3c7fc41d1bd40f0db878ca8802443d2"/>
    <w:p>
      <w:pPr>
        <w:pStyle w:val="Heading1"/>
      </w:pPr>
      <w:r>
        <w:t xml:space="preserve">Comprehensive Sales Report for Baker: Australia Melbourne Market Analysis</w:t>
      </w:r>
    </w:p>
    <w:bookmarkStart w:id="20" w:name="executive-summary"/>
    <w:p>
      <w:pPr>
        <w:pStyle w:val="Heading2"/>
      </w:pPr>
      <w:r>
        <w:t xml:space="preserve">Executive Summary</w:t>
      </w:r>
    </w:p>
    <w:p>
      <w:pPr>
        <w:pStyle w:val="FirstParagraph"/>
      </w:pPr>
      <w:r>
        <w:t xml:space="preserve">This comprehensive sales report details the performance of Baker, a leading premium bakery chain, across the vibrant Melbourne market in Australia. Covering Q3 2023 (July-September), the report demonstrates strong growth trajectory despite economic headwinds. Baker achieved a 14.7% year-over-year revenue increase to $18.2 million in Australia Melbourne, exceeding regional targets by 9%. The success is attributed to strategic menu innovation, community engagement initiatives, and data-driven inventory optimization specific to Melbourne's diverse consumer preferences. This document serves as the official sales analysis for Baker's Australian operations and provides critical insights for future market expansion.</w:t>
      </w:r>
    </w:p>
    <w:bookmarkEnd w:id="20"/>
    <w:bookmarkStart w:id="21" w:name="X06aab9263bc3d6368eea65aa67f9a7a634cef51"/>
    <w:p>
      <w:pPr>
        <w:pStyle w:val="Heading2"/>
      </w:pPr>
      <w:r>
        <w:t xml:space="preserve">Market Context: Australia Melbourne Consumer Landscape</w:t>
      </w:r>
    </w:p>
    <w:p>
      <w:pPr>
        <w:pStyle w:val="FirstParagraph"/>
      </w:pPr>
      <w:r>
        <w:t xml:space="preserve">Melbourne remains Australia's most bakery-consumption-intensive city, with per capita expenditure 23% higher than national average. As the nation's culinary capital, Melbourne boasts a unique blend of European heritage and innovative food culture, creating ideal conditions for premium bakery brands like Baker. The city's population growth (1.8% annually) has driven increased demand for artisanal products across all income brackets. Our Melbourne operations strategically target three key segments: health-conscious millennials (35% of sales), heritage-focused multigenerational households (40%), and corporate catering clients (25%). This segmentation aligns perfectly with Baker's core value proposition of "quality baked goods rooted in tradition, crafted for modern life."</w:t>
      </w:r>
    </w:p>
    <w:bookmarkEnd w:id="21"/>
    <w:bookmarkStart w:id="22" w:name="X1168be57b4552dea9100b362dd396a8756ed43a"/>
    <w:p>
      <w:pPr>
        <w:pStyle w:val="Heading2"/>
      </w:pPr>
      <w:r>
        <w:t xml:space="preserve">Detailed Sales Performance: Baker Australia Melbourne</w:t>
      </w:r>
    </w:p>
    <w:p>
      <w:pPr>
        <w:pStyle w:val="FirstParagraph"/>
      </w:pPr>
      <w:r>
        <w:t xml:space="preserve">Product Category</w:t>
      </w:r>
    </w:p>
    <w:p>
      <w:pPr>
        <w:pStyle w:val="BodyText"/>
      </w:pPr>
      <w:r>
        <w:t xml:space="preserve">Q3 2023 Revenue ($)</w:t>
      </w:r>
    </w:p>
    <w:p>
      <w:pPr>
        <w:pStyle w:val="BodyText"/>
      </w:pPr>
      <w:r>
        <w:t xml:space="preserve">YoY Change (%)</w:t>
      </w:r>
    </w:p>
    <w:p>
      <w:pPr>
        <w:pStyle w:val="BodyText"/>
      </w:pPr>
      <w:r>
        <w:t xml:space="preserve">Melbourne Market Share</w:t>
      </w:r>
    </w:p>
    <w:p>
      <w:pPr>
        <w:pStyle w:val="BodyText"/>
      </w:pPr>
      <w:r>
        <w:t xml:space="preserve">Premium Artisan Bread (Sourdough, Multigrain)</w:t>
      </w:r>
    </w:p>
    <w:p>
      <w:pPr>
        <w:pStyle w:val="BodyText"/>
      </w:pPr>
      <w:r>
        <w:t xml:space="preserve">5,420,000</w:t>
      </w:r>
    </w:p>
    <w:p>
      <w:pPr>
        <w:pStyle w:val="BodyText"/>
      </w:pPr>
      <w:r>
        <w:t xml:space="preserve">+18.2%</w:t>
      </w:r>
    </w:p>
    <w:p>
      <w:pPr>
        <w:pStyle w:val="BodyText"/>
      </w:pPr>
      <w:r>
        <w:t xml:space="preserve">37.6% (↑3.1pts)</w:t>
      </w:r>
    </w:p>
    <w:p>
      <w:pPr>
        <w:pStyle w:val="BodyText"/>
      </w:pPr>
      <w:r>
        <w:t xml:space="preserve">Dessert &amp; Pastries</w:t>
      </w:r>
    </w:p>
    <w:p>
      <w:pPr>
        <w:pStyle w:val="BodyText"/>
      </w:pPr>
      <w:r>
        <w:t xml:space="preserve">6,185,000</w:t>
      </w:r>
    </w:p>
    <w:p>
      <w:pPr>
        <w:pStyle w:val="BodyText"/>
      </w:pPr>
      <w:r>
        <w:t xml:space="preserve">&lt;</w:t>
      </w:r>
    </w:p>
    <w:p>
      <w:pPr>
        <w:pStyle w:val="BodyText"/>
      </w:pPr>
      <w:r>
        <w:t xml:space="preserve">+12.9%</w:t>
      </w:r>
    </w:p>
    <w:p>
      <w:pPr>
        <w:pStyle w:val="BodyText"/>
      </w:pPr>
      <w:r>
        <w:t xml:space="preserve">41.3% (↑2.4pts)</w:t>
      </w:r>
    </w:p>
    <w:p>
      <w:pPr>
        <w:pStyle w:val="BodyText"/>
      </w:pPr>
      <w:r>
        <w:t xml:space="preserve">Breakfast &amp; Snack Packs</w:t>
      </w:r>
    </w:p>
    <w:p>
      <w:pPr>
        <w:pStyle w:val="BodyText"/>
      </w:pPr>
      <w:r>
        <w:t xml:space="preserve">3,875,000</w:t>
      </w:r>
    </w:p>
    <w:p>
      <w:pPr>
        <w:pStyle w:val="BodyText"/>
      </w:pPr>
      <w:r>
        <w:t xml:space="preserve">+9.6%</w:t>
      </w:r>
    </w:p>
    <w:p>
      <w:pPr>
        <w:pStyle w:val="BodyText"/>
      </w:pPr>
      <w:r>
        <w:t xml:space="preserve">33.8% (↑1.7pts)</w:t>
      </w:r>
    </w:p>
    <w:p>
      <w:pPr>
        <w:pStyle w:val="BodyText"/>
      </w:pPr>
      <w:r>
        <w:t xml:space="preserve">Catering &amp; Corporate Sales</w:t>
      </w:r>
    </w:p>
    <w:p>
      <w:pPr>
        <w:pStyle w:val="BodyText"/>
      </w:pPr>
      <w:r>
        <w:t xml:space="preserve">2,720,000</w:t>
      </w:r>
    </w:p>
    <w:p>
      <w:pPr>
        <w:pStyle w:val="BodyText"/>
      </w:pPr>
      <w:r>
        <w:t xml:space="preserve">+19.4%</w:t>
      </w:r>
    </w:p>
    <w:p>
      <w:pPr>
        <w:pStyle w:val="BodyText"/>
      </w:pPr>
      <w:r>
        <w:t xml:space="preserve">55% (↑6.2pts)</w:t>
      </w:r>
    </w:p>
    <w:p>
      <w:pPr>
        <w:pStyle w:val="BodyText"/>
      </w:pPr>
      <w:r>
        <w:t xml:space="preserve">Baker's Melbourne bakery locations consistently outperformed national averages across all categories. The premium bread line achieved exceptional growth through partnerships with Melbourne's top specialty coffee shops, including the renowned "The Kettle &amp; Co." network. Dessert sales surged due to our seasonal "Melbourne Cup Collection" featuring locally sourced ingredients from Victoria's Great Ocean Road farms. Notably, corporate catering grew 19.4% as Baker secured contracts with major Melbourne employers like ANZ Bank and the University of Melbourne, demonstrating strong B2B traction.</w:t>
      </w:r>
    </w:p>
    <w:bookmarkEnd w:id="22"/>
    <w:bookmarkStart w:id="23" w:name="geographic-performance-analysis"/>
    <w:p>
      <w:pPr>
        <w:pStyle w:val="Heading2"/>
      </w:pPr>
      <w:r>
        <w:t xml:space="preserve">Geographic Performance Analysis</w:t>
      </w:r>
    </w:p>
    <w:p>
      <w:pPr>
        <w:pStyle w:val="FirstParagraph"/>
      </w:pPr>
      <w:r>
        <w:t xml:space="preserve">Baker's seven strategically placed bakeries across Melbourne (CBD, Southbank, Prahran, Hawthorn, Fitzroy North, Clayton and St Kilda) each contributed uniquely to the overall success. The St Kilda location emerged as the top performer (45% of city revenue) due to its proximity to tourism hubs and weekend events. Conversely, the Clayton outlet drove exceptional corporate sales through campus partnerships with Monash University. This geographic spread has been critical in capturing Melbourne's diverse consumption patterns - from weekday morning rushes in business districts to Sunday brunch culture in inner suburbs.</w:t>
      </w:r>
    </w:p>
    <w:bookmarkEnd w:id="23"/>
    <w:bookmarkStart w:id="24" w:name="X63a02ebed1179638f4fc543d98074201f78d644"/>
    <w:p>
      <w:pPr>
        <w:pStyle w:val="Heading2"/>
      </w:pPr>
      <w:r>
        <w:t xml:space="preserve">Key Success Drivers: Baker's Melbourne Strategy</w:t>
      </w:r>
    </w:p>
    <w:p>
      <w:pPr>
        <w:numPr>
          <w:ilvl w:val="0"/>
          <w:numId w:val="1001"/>
        </w:numPr>
        <w:pStyle w:val="Compact"/>
      </w:pPr>
      <w:r>
        <w:rPr>
          <w:bCs/>
          <w:b/>
        </w:rPr>
        <w:t xml:space="preserve">Hyper-Local Ingredient Sourcing:</w:t>
      </w:r>
      <w:r>
        <w:t xml:space="preserve"> </w:t>
      </w:r>
      <w:r>
        <w:t xml:space="preserve">87% of ingredients come from Victorian suppliers within 50km of Melbourne. This includes seasonal berries from the Dandenong Ranges and premium flour from Geelong mills, directly appealing to Melbourne's locavore culture.</w:t>
      </w:r>
    </w:p>
    <w:p>
      <w:pPr>
        <w:numPr>
          <w:ilvl w:val="0"/>
          <w:numId w:val="1001"/>
        </w:numPr>
        <w:pStyle w:val="Compact"/>
      </w:pPr>
      <w:r>
        <w:rPr>
          <w:bCs/>
          <w:b/>
        </w:rPr>
        <w:t xml:space="preserve">Data-Driven Product Development:</w:t>
      </w:r>
      <w:r>
        <w:t xml:space="preserve"> </w:t>
      </w:r>
      <w:r>
        <w:t xml:space="preserve">Baker's Melbourne team analyzed sales data to introduce the "Collins Street Croissant" (a flaky, buttery pastry inspired by Melbourne's historic streets), which now accounts for 12% of dessert revenue.</w:t>
      </w:r>
    </w:p>
    <w:p>
      <w:pPr>
        <w:numPr>
          <w:ilvl w:val="0"/>
          <w:numId w:val="1001"/>
        </w:numPr>
        <w:pStyle w:val="Compact"/>
      </w:pPr>
      <w:r>
        <w:rPr>
          <w:bCs/>
          <w:b/>
        </w:rPr>
        <w:t xml:space="preserve">Community Integration:</w:t>
      </w:r>
      <w:r>
        <w:t xml:space="preserve"> </w:t>
      </w:r>
      <w:r>
        <w:t xml:space="preserve">Baker hosts monthly "Bake With Me" workshops at community centers across Melbourne, generating 300+ weekly social media mentions and strengthening local brand affinity. The initiative has directly contributed to a 22% repeat customer rate in targeted suburbs.</w:t>
      </w:r>
    </w:p>
    <w:p>
      <w:pPr>
        <w:numPr>
          <w:ilvl w:val="0"/>
          <w:numId w:val="1001"/>
        </w:numPr>
        <w:pStyle w:val="Compact"/>
      </w:pPr>
      <w:r>
        <w:rPr>
          <w:bCs/>
          <w:b/>
        </w:rPr>
        <w:t xml:space="preserve">Technology Adoption:</w:t>
      </w:r>
      <w:r>
        <w:t xml:space="preserve"> </w:t>
      </w:r>
      <w:r>
        <w:t xml:space="preserve">Our mobile app's predictive ordering feature (optimized for Melbourne weather patterns) reduced waste by 18% and increased online sales by 34% in Q3.</w:t>
      </w:r>
    </w:p>
    <w:bookmarkEnd w:id="24"/>
    <w:bookmarkStart w:id="25" w:name="challenges-mitigation-strategies"/>
    <w:p>
      <w:pPr>
        <w:pStyle w:val="Heading2"/>
      </w:pPr>
      <w:r>
        <w:t xml:space="preserve">Challenges &amp; Mitigation Strategies</w:t>
      </w:r>
    </w:p>
    <w:p>
      <w:pPr>
        <w:pStyle w:val="FirstParagraph"/>
      </w:pPr>
      <w:r>
        <w:t xml:space="preserve">Melbourne's competitive bakery landscape presented challenges including rising flour costs (up 15% YoY) and staffing shortages. Baker addressed this through:</w:t>
      </w:r>
    </w:p>
    <w:p>
      <w:pPr>
        <w:numPr>
          <w:ilvl w:val="0"/>
          <w:numId w:val="1002"/>
        </w:numPr>
        <w:pStyle w:val="Compact"/>
      </w:pPr>
      <w:r>
        <w:t xml:space="preserve">Negotiating fixed-price contracts with local wheat growers to stabilize input costs</w:t>
      </w:r>
    </w:p>
    <w:p>
      <w:pPr>
        <w:numPr>
          <w:ilvl w:val="0"/>
          <w:numId w:val="1002"/>
        </w:numPr>
        <w:pStyle w:val="Compact"/>
      </w:pPr>
      <w:r>
        <w:t xml:space="preserve">Implementing a "Baker Apprentice Program" partnering with TAFE Melbourne, reducing staff turnover by 27%</w:t>
      </w:r>
    </w:p>
    <w:p>
      <w:pPr>
        <w:numPr>
          <w:ilvl w:val="0"/>
          <w:numId w:val="1002"/>
        </w:numPr>
        <w:pStyle w:val="Compact"/>
      </w:pPr>
      <w:r>
        <w:t xml:space="preserve">Introducing automated dough-handling systems in our three largest bakeries (CBD, Southbank, St Kilda) boosting output efficiency by 21%</w:t>
      </w:r>
    </w:p>
    <w:bookmarkEnd w:id="25"/>
    <w:bookmarkStart w:id="26" w:name="X058690f90b8eee0e5a19a222f39c4f82786aab2"/>
    <w:p>
      <w:pPr>
        <w:pStyle w:val="Heading2"/>
      </w:pPr>
      <w:r>
        <w:t xml:space="preserve">Opportunities for Baker in Australia Melbourne</w:t>
      </w:r>
    </w:p>
    <w:p>
      <w:pPr>
        <w:pStyle w:val="FirstParagraph"/>
      </w:pPr>
      <w:r>
        <w:t xml:space="preserve">The report identifies three high-potential opportunities:</w:t>
      </w:r>
    </w:p>
    <w:p>
      <w:pPr>
        <w:numPr>
          <w:ilvl w:val="0"/>
          <w:numId w:val="1003"/>
        </w:numPr>
        <w:pStyle w:val="Compact"/>
      </w:pPr>
      <w:r>
        <w:rPr>
          <w:bCs/>
          <w:b/>
        </w:rPr>
        <w:t xml:space="preserve">Expansion into Melbourne's Emerging Suburbs:</w:t>
      </w:r>
      <w:r>
        <w:t xml:space="preserve"> </w:t>
      </w:r>
      <w:r>
        <w:t xml:space="preserve">Areas like Sunshine and Werribee show 35% higher bakery demand growth than city average. Baker plans to open two new locations there in Q1 2024.</w:t>
      </w:r>
    </w:p>
    <w:p>
      <w:pPr>
        <w:numPr>
          <w:ilvl w:val="0"/>
          <w:numId w:val="1003"/>
        </w:numPr>
        <w:pStyle w:val="Compact"/>
      </w:pPr>
      <w:r>
        <w:rPr>
          <w:bCs/>
          <w:b/>
        </w:rPr>
        <w:t xml:space="preserve">Sustainability Leadership:</w:t>
      </w:r>
      <w:r>
        <w:t xml:space="preserve"> </w:t>
      </w:r>
      <w:r>
        <w:t xml:space="preserve">Melbourne's zero-waste initiative (City of Melbourne, 2025 target) presents an opportunity for Baker to launch a "Waste-to-Value" program using spent grain for local animal feed producers.</w:t>
      </w:r>
    </w:p>
    <w:p>
      <w:pPr>
        <w:numPr>
          <w:ilvl w:val="0"/>
          <w:numId w:val="1003"/>
        </w:numPr>
        <w:pStyle w:val="Compact"/>
      </w:pPr>
      <w:r>
        <w:rPr>
          <w:bCs/>
          <w:b/>
        </w:rPr>
        <w:t xml:space="preserve">Event Partnership Growth:</w:t>
      </w:r>
      <w:r>
        <w:t xml:space="preserve"> </w:t>
      </w:r>
      <w:r>
        <w:t xml:space="preserve">Partnering with major Melbourne events like the Australian Open and Moomba Festival could capture 15% additional seasonal revenue streams.</w:t>
      </w:r>
    </w:p>
    <w:bookmarkEnd w:id="26"/>
    <w:bookmarkStart w:id="27" w:name="strategic-recommendations"/>
    <w:p>
      <w:pPr>
        <w:pStyle w:val="Heading2"/>
      </w:pPr>
      <w:r>
        <w:t xml:space="preserve">Strategic Recommendations</w:t>
      </w:r>
    </w:p>
    <w:p>
      <w:pPr>
        <w:pStyle w:val="FirstParagraph"/>
      </w:pPr>
      <w:r>
        <w:t xml:space="preserve">Based on this Australia Melbourne sales analysis, Baker should:</w:t>
      </w:r>
    </w:p>
    <w:p>
      <w:pPr>
        <w:numPr>
          <w:ilvl w:val="0"/>
          <w:numId w:val="1004"/>
        </w:numPr>
        <w:pStyle w:val="Compact"/>
      </w:pPr>
      <w:r>
        <w:t xml:space="preserve">Allocate $750,000 to expand bakery locations in Melbourne's growth corridors (Sunshine/Werribee) by Q1 2024</w:t>
      </w:r>
    </w:p>
    <w:p>
      <w:pPr>
        <w:numPr>
          <w:ilvl w:val="0"/>
          <w:numId w:val="1004"/>
        </w:numPr>
        <w:pStyle w:val="Compact"/>
      </w:pPr>
      <w:r>
        <w:t xml:space="preserve">Develop a dedicated "Melbourne Heritage Collection" featuring historically inspired products (e.g., "Queen Victoria Scone") for the 2024 centennial celebrations</w:t>
      </w:r>
    </w:p>
    <w:p>
      <w:pPr>
        <w:numPr>
          <w:ilvl w:val="0"/>
          <w:numId w:val="1004"/>
        </w:numPr>
        <w:pStyle w:val="Compact"/>
      </w:pPr>
      <w:r>
        <w:t xml:space="preserve">Implement an AI-powered dynamic pricing model tailored to Melbourne's real-time event calendars and weather patterns</w:t>
      </w:r>
    </w:p>
    <w:bookmarkEnd w:id="27"/>
    <w:bookmarkStart w:id="28" w:name="Xbc93cd441c551a61392e856d5ddd3be42b71b1f"/>
    <w:p>
      <w:pPr>
        <w:pStyle w:val="Heading2"/>
      </w:pPr>
      <w:r>
        <w:t xml:space="preserve">Conclusion: Baker's Future in Australia Melbourne</w:t>
      </w:r>
    </w:p>
    <w:p>
      <w:pPr>
        <w:pStyle w:val="FirstParagraph"/>
      </w:pPr>
      <w:r>
        <w:t xml:space="preserve">The Q3 2023 sales performance confirms Baker's strategic positioning as a market leader in Australia Melbourne. Our data-driven approach, combined with authentic community integration and hyper-localized product development, has created sustainable growth in a competitive landscape. The 14.7% revenue increase demonstrates Baker's ability to thrive amid economic volatility while strengthening our brand as Melbourne's most trusted bakery partner.</w:t>
      </w:r>
    </w:p>
    <w:p>
      <w:pPr>
        <w:pStyle w:val="BodyText"/>
      </w:pPr>
      <w:r>
        <w:t xml:space="preserve">As the premier sales report for Baker Australia operations, this analysis proves that our Melbourne strategy delivers exceptional results. We project continued growth of 12-15% annually through targeted expansion and innovation aligned with Melbourne's unique cultural identity. Baker is not merely selling baked goods in Australia Melbourne – we are building community, one loaf at a time. Our future success in this market remains fundamentally tied to our commitment to understanding and serving the evolving tastes of Melbourne residents across all neighborhoods and demographics.</w:t>
      </w:r>
    </w:p>
    <w:p>
      <w:pPr>
        <w:pStyle w:val="BodyText"/>
      </w:pPr>
      <w:r>
        <w:rPr>
          <w:bCs/>
          <w:b/>
        </w:rPr>
        <w:t xml:space="preserve">Prepared By:</w:t>
      </w:r>
      <w:r>
        <w:t xml:space="preserve"> </w:t>
      </w:r>
      <w:r>
        <w:t xml:space="preserve">Global Sales Analytics Team</w:t>
      </w:r>
      <w:r>
        <w:br/>
      </w:r>
      <w:r>
        <w:rPr>
          <w:bCs/>
          <w:b/>
        </w:rPr>
        <w:t xml:space="preserve">Date:</w:t>
      </w:r>
      <w:r>
        <w:t xml:space="preserve"> </w:t>
      </w:r>
      <w:r>
        <w:t xml:space="preserve">October 15, 2023</w:t>
      </w:r>
      <w:r>
        <w:br/>
      </w:r>
      <w:r>
        <w:rPr>
          <w:bCs/>
          <w:b/>
        </w:rPr>
        <w:t xml:space="preserve">For Baker Australia Leadership &amp; Stakeholders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Australia Melbourne Market Performance</dc:title>
  <dc:creator/>
  <dc:language>en</dc:language>
  <cp:keywords/>
  <dcterms:created xsi:type="dcterms:W3CDTF">2025-12-11T18:20:52Z</dcterms:created>
  <dcterms:modified xsi:type="dcterms:W3CDTF">2025-12-11T18:20:52Z</dcterms:modified>
</cp:coreProperties>
</file>

<file path=docProps/custom.xml><?xml version="1.0" encoding="utf-8"?>
<Properties xmlns="http://schemas.openxmlformats.org/officeDocument/2006/custom-properties" xmlns:vt="http://schemas.openxmlformats.org/officeDocument/2006/docPropsVTypes"/>
</file>