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Baker</w:t>
      </w:r>
      <w:r>
        <w:t xml:space="preserve"> </w:t>
      </w:r>
      <w:r>
        <w:t xml:space="preserve">Sales</w:t>
      </w:r>
      <w:r>
        <w:t xml:space="preserve"> </w:t>
      </w:r>
      <w:r>
        <w:t xml:space="preserve">Report:</w:t>
      </w:r>
      <w:r>
        <w:t xml:space="preserve"> </w:t>
      </w:r>
      <w:r>
        <w:t xml:space="preserve">Q1</w:t>
      </w:r>
      <w:r>
        <w:t xml:space="preserve"> </w:t>
      </w:r>
      <w:r>
        <w:t xml:space="preserve">2024</w:t>
      </w:r>
      <w:r>
        <w:t xml:space="preserve"> </w:t>
      </w:r>
      <w:r>
        <w:t xml:space="preserve">Performance</w:t>
      </w:r>
    </w:p>
    <w:bookmarkStart w:id="28" w:name="X0b51157967fb83514b61672e44bff387bf67725"/>
    <w:p>
      <w:pPr>
        <w:pStyle w:val="Heading1"/>
      </w:pPr>
      <w:r>
        <w:t xml:space="preserve">Sales Report: Baker's Performance in New Zealand Wellington – Q1 2024</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Baker, a premium artisanal bakery operating exclusively in New Zealand Wellington. Covering the first quarter of 2024 (January to March), this report demonstrates how Baker has navigated Wellington's unique market dynamics while strengthening its position as a community staple. Despite seasonal challenges and competitive pressures within the vibrant Wellington food scene, Baker achieved an 18% year-on-year sales growth, totaling $187,500 across all product lines. The success is directly attributed to hyper-localized offerings tailored to Wellingtonian tastes and strategic partnerships with iconic local establishments.</w:t>
      </w:r>
    </w:p>
    <w:bookmarkEnd w:id="20"/>
    <w:bookmarkStart w:id="21" w:name="X85261b5d24c8dcd71330cbf074adb5e7a434502"/>
    <w:p>
      <w:pPr>
        <w:pStyle w:val="Heading2"/>
      </w:pPr>
      <w:r>
        <w:t xml:space="preserve">Market Context: Why Wellington Matters for Baker</w:t>
      </w:r>
    </w:p>
    <w:p>
      <w:pPr>
        <w:pStyle w:val="FirstParagraph"/>
      </w:pPr>
      <w:r>
        <w:t xml:space="preserve">New Zealand Wellington presents a distinctive market for bakeries due to its dense urban population, high disposable income levels, and strong cultural emphasis on quality food experiences. As the capital city with renowned culinary hubs like Courtenay Place and Te Papa precinct, Wellington residents actively seek authentic, locally-made products. Baker's decision to anchor its operations in this environment was pivotal—92% of our customers are Wellington residents who prioritize supporting businesses embedded in their community. This local loyalty directly contributed to Baker's Q1 sales momentum, outperforming national bakery averages by 34%.</w:t>
      </w:r>
    </w:p>
    <w:bookmarkEnd w:id="21"/>
    <w:bookmarkStart w:id="22" w:name="q1-2024-sales-performance-breakdown"/>
    <w:p>
      <w:pPr>
        <w:pStyle w:val="Heading2"/>
      </w:pPr>
      <w:r>
        <w:t xml:space="preserve">Q1 2024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Revenue (NZD)</w:t>
            </w:r>
          </w:p>
        </w:tc>
        <w:tc>
          <w:tcPr/>
          <w:p>
            <w:pPr>
              <w:pStyle w:val="Compact"/>
              <w:jc w:val="left"/>
            </w:pPr>
            <w:r>
              <w:t xml:space="preserve">Q1 2024 Revenue (NZD)</w:t>
            </w:r>
          </w:p>
        </w:tc>
        <w:tc>
          <w:tcPr/>
          <w:p>
            <w:pPr>
              <w:pStyle w:val="Compact"/>
              <w:jc w:val="left"/>
            </w:pPr>
            <w:r>
              <w:t xml:space="preserve">% Change</w:t>
            </w:r>
          </w:p>
        </w:tc>
      </w:tr>
      <w:tr>
        <w:tc>
          <w:tcPr/>
          <w:p>
            <w:pPr>
              <w:pStyle w:val="Compact"/>
              <w:jc w:val="left"/>
            </w:pPr>
            <w:r>
              <w:t xml:space="preserve">Premium Bread &amp; Buns</w:t>
            </w:r>
          </w:p>
        </w:tc>
        <w:tc>
          <w:tcPr/>
          <w:p>
            <w:pPr>
              <w:pStyle w:val="Compact"/>
              <w:jc w:val="left"/>
            </w:pPr>
            <w:r>
              <w:t xml:space="preserve">$58,000</w:t>
            </w:r>
          </w:p>
        </w:tc>
        <w:tc>
          <w:tcPr/>
          <w:p>
            <w:pPr>
              <w:pStyle w:val="Compact"/>
              <w:jc w:val="left"/>
            </w:pPr>
            <w:r>
              <w:t xml:space="preserve">$67,850</w:t>
            </w:r>
          </w:p>
        </w:tc>
        <w:tc>
          <w:tcPr/>
          <w:p>
            <w:pPr>
              <w:pStyle w:val="Compact"/>
              <w:jc w:val="left"/>
            </w:pPr>
            <w:r>
              <w:t xml:space="preserve">+17.0%</w:t>
            </w:r>
          </w:p>
        </w:tc>
      </w:tr>
      <w:tr>
        <w:tc>
          <w:tcPr/>
          <w:p>
            <w:pPr>
              <w:pStyle w:val="Compact"/>
              <w:jc w:val="left"/>
            </w:pPr>
            <w:r>
              <w:t xml:space="preserve">Artisanal Pastries</w:t>
            </w:r>
          </w:p>
        </w:tc>
        <w:tc>
          <w:tcPr/>
          <w:p>
            <w:pPr>
              <w:pStyle w:val="Compact"/>
              <w:jc w:val="left"/>
            </w:pPr>
            <w:r>
              <w:t xml:space="preserve">$42,500</w:t>
            </w:r>
          </w:p>
        </w:tc>
        <w:tc>
          <w:tcPr/>
          <w:p>
            <w:pPr>
              <w:pStyle w:val="Compact"/>
              <w:jc w:val="left"/>
            </w:pPr>
            <w:r>
              <w:t xml:space="preserve">$49,200</w:t>
            </w:r>
          </w:p>
        </w:tc>
        <w:tc>
          <w:tcPr/>
          <w:p>
            <w:pPr>
              <w:pStyle w:val="Compact"/>
              <w:jc w:val="left"/>
            </w:pPr>
            <w:r>
              <w:t xml:space="preserve">+15.8%</w:t>
            </w:r>
          </w:p>
        </w:tc>
      </w:tr>
      <w:tr>
        <w:tc>
          <w:tcPr/>
          <w:p>
            <w:pPr>
              <w:pStyle w:val="Compact"/>
              <w:jc w:val="left"/>
            </w:pPr>
            <w:r>
              <w:t xml:space="preserve">Savoury Bakes (Quiches/Sandwiches)</w:t>
            </w:r>
          </w:p>
        </w:tc>
        <w:tc>
          <w:tcPr/>
          <w:p>
            <w:pPr>
              <w:pStyle w:val="Compact"/>
              <w:jc w:val="left"/>
            </w:pPr>
            <w:r>
              <w:t xml:space="preserve">$31,250</w:t>
            </w:r>
          </w:p>
        </w:tc>
        <w:tc>
          <w:tcPr/>
          <w:p>
            <w:pPr>
              <w:pStyle w:val="Compact"/>
              <w:jc w:val="left"/>
            </w:pPr>
            <w:r>
              <w:t xml:space="preserve">$37,600</w:t>
            </w:r>
          </w:p>
        </w:tc>
        <w:tc>
          <w:tcPr/>
          <w:p>
            <w:pPr>
              <w:pStyle w:val="Compact"/>
              <w:jc w:val="left"/>
            </w:pPr>
            <w:r>
              <w:t xml:space="preserve">+20.3%</w:t>
            </w:r>
          </w:p>
        </w:tc>
      </w:tr>
      <w:tr>
        <w:tc>
          <w:tcPr/>
          <w:p>
            <w:pPr>
              <w:pStyle w:val="Compact"/>
              <w:jc w:val="left"/>
            </w:pPr>
            <w:r>
              <w:t xml:space="preserve">Specialty Coffee Pairings</w:t>
            </w:r>
          </w:p>
        </w:tc>
        <w:tc>
          <w:tcPr/>
          <w:p>
            <w:pPr>
              <w:pStyle w:val="Compact"/>
              <w:jc w:val="left"/>
            </w:pPr>
            <w:r>
              <w:t xml:space="preserve">$18,750</w:t>
            </w:r>
          </w:p>
        </w:tc>
        <w:tc>
          <w:tcPr/>
          <w:p>
            <w:pPr>
              <w:pStyle w:val="Compact"/>
              <w:jc w:val="left"/>
            </w:pPr>
            <w:r>
              <w:t xml:space="preserve">$24,550</w:t>
            </w:r>
          </w:p>
        </w:tc>
        <w:tc>
          <w:tcPr/>
          <w:p>
            <w:pPr>
              <w:pStyle w:val="Compact"/>
              <w:jc w:val="left"/>
            </w:pPr>
            <w:r>
              <w:t xml:space="preserve">+31.6%</w:t>
            </w:r>
          </w:p>
        </w:tc>
      </w:tr>
      <w:tr>
        <w:tc>
          <w:tcPr/>
          <w:p>
            <w:pPr>
              <w:pStyle w:val="Compact"/>
              <w:jc w:val="left"/>
            </w:pPr>
            <w:r>
              <w:rPr>
                <w:bCs/>
                <w:b/>
              </w:rPr>
              <w:t xml:space="preserve">Total Revenue</w:t>
            </w:r>
          </w:p>
        </w:tc>
        <w:tc>
          <w:tcPr/>
          <w:p>
            <w:pPr>
              <w:pStyle w:val="Compact"/>
              <w:jc w:val="left"/>
            </w:pPr>
            <w:r>
              <w:rPr>
                <w:bCs/>
                <w:b/>
              </w:rPr>
              <w:t xml:space="preserve">$150,500</w:t>
            </w:r>
          </w:p>
        </w:tc>
        <w:tc>
          <w:tcPr/>
          <w:p>
            <w:pPr>
              <w:pStyle w:val="Compact"/>
              <w:jc w:val="left"/>
            </w:pPr>
            <w:r>
              <w:rPr>
                <w:bCs/>
                <w:b/>
              </w:rPr>
              <w:t xml:space="preserve">$187,500</w:t>
            </w:r>
          </w:p>
        </w:tc>
        <w:tc>
          <w:tcPr/>
          <w:p>
            <w:pPr>
              <w:pStyle w:val="Compact"/>
              <w:jc w:val="left"/>
            </w:pPr>
            <w:r>
              <w:rPr>
                <w:bCs/>
                <w:b/>
              </w:rPr>
              <w:t xml:space="preserve">+24.6%</w:t>
            </w:r>
          </w:p>
        </w:tc>
      </w:tr>
    </w:tbl>
    <w:p>
      <w:pPr>
        <w:pStyle w:val="BodyText"/>
      </w:pPr>
      <w:r>
        <w:t xml:space="preserve">Key drivers of growth included the launch of Wellington-exclusive items like the "Hutt Valley Honey &amp; Manuka Cruffin" (inspired by local agricultural heritage) and increased wholesale partnerships with cafes along Cuba Street. Notably, coffee pairings surged due to Baker's collaboration with Wellington's award-winning Kōkako Coffee House, generating a 26% lift in cross-sell revenue.</w:t>
      </w:r>
    </w:p>
    <w:bookmarkEnd w:id="22"/>
    <w:bookmarkStart w:id="23" w:name="X0a94f6e52f2767e6df70cc34582d468a84a197a"/>
    <w:p>
      <w:pPr>
        <w:pStyle w:val="Heading2"/>
      </w:pPr>
      <w:r>
        <w:t xml:space="preserve">Customer Insights: The Wellington Connection</w:t>
      </w:r>
    </w:p>
    <w:p>
      <w:pPr>
        <w:pStyle w:val="FirstParagraph"/>
      </w:pPr>
      <w:r>
        <w:t xml:space="preserve">Data reveals that Baker’s most loyal customers (45% of total sales) are residents from the city centre and Thorndon—areas with high foot traffic from government workers, students, and tourists. A post-visit survey showed 89% of Wellington customers cited "supporting local businesses" as a primary purchase driver. This aligns with Wellington's community-focused ethos where consumers actively seek out businesses like Baker that engage in initiatives such as the Wellington City Council’s "Buy Local" program.</w:t>
      </w:r>
    </w:p>
    <w:bookmarkEnd w:id="23"/>
    <w:bookmarkStart w:id="24" w:name="Xb004873bbc017058bce6c517d2507b55860c289"/>
    <w:p>
      <w:pPr>
        <w:pStyle w:val="Heading2"/>
      </w:pPr>
      <w:r>
        <w:t xml:space="preserve">Challenges &amp; Adaptations in New Zealand Wellington</w:t>
      </w:r>
    </w:p>
    <w:p>
      <w:pPr>
        <w:pStyle w:val="FirstParagraph"/>
      </w:pPr>
      <w:r>
        <w:t xml:space="preserve">Seasonal weather presented a notable challenge during winter months, with rain reducing foot traffic by 15% compared to summer. Baker countered this through targeted promotions like "Warm Up Wednesday" (free hot chocolate with any bread purchase) and expanded delivery partnerships with Wellington-based services like Deliveroo and local bike couriers. Supply chain issues for imported flour were mitigated by switching to a local Wellington miller, reducing costs by 8% while supporting the regional economy.</w:t>
      </w:r>
    </w:p>
    <w:bookmarkEnd w:id="24"/>
    <w:bookmarkStart w:id="25" w:name="Xec0beedc2ec58f251e736d6d282cb694d4ea198"/>
    <w:p>
      <w:pPr>
        <w:pStyle w:val="Heading2"/>
      </w:pPr>
      <w:r>
        <w:t xml:space="preserve">Strategic Initiatives Driving Baker's Success</w:t>
      </w:r>
    </w:p>
    <w:p>
      <w:pPr>
        <w:numPr>
          <w:ilvl w:val="0"/>
          <w:numId w:val="1001"/>
        </w:numPr>
        <w:pStyle w:val="Compact"/>
      </w:pPr>
      <w:r>
        <w:rPr>
          <w:bCs/>
          <w:b/>
        </w:rPr>
        <w:t xml:space="preserve">Hyper-Local Sourcing:</w:t>
      </w:r>
      <w:r>
        <w:t xml:space="preserve"> </w:t>
      </w:r>
      <w:r>
        <w:t xml:space="preserve">Partnering with Wairarapa dairy farms for cream and Nelson orchards for fruit fillings ensures ingredients reflect Wellington’s regional identity. This strategy increased product uniqueness scores by 37% in customer feedback.</w:t>
      </w:r>
    </w:p>
    <w:p>
      <w:pPr>
        <w:numPr>
          <w:ilvl w:val="0"/>
          <w:numId w:val="1001"/>
        </w:numPr>
        <w:pStyle w:val="Compact"/>
      </w:pPr>
      <w:r>
        <w:rPr>
          <w:bCs/>
          <w:b/>
        </w:rPr>
        <w:t xml:space="preserve">Wellington Events Integration:</w:t>
      </w:r>
      <w:r>
        <w:t xml:space="preserve"> </w:t>
      </w:r>
      <w:r>
        <w:t xml:space="preserve">Baker sponsored the Wellington Fringe Festival, offering pop-up stalls at events like the Cuba Street Music Festival, generating $12,400 in event-specific sales and increasing brand visibility by 62%.</w:t>
      </w:r>
    </w:p>
    <w:p>
      <w:pPr>
        <w:numPr>
          <w:ilvl w:val="0"/>
          <w:numId w:val="1001"/>
        </w:numPr>
        <w:pStyle w:val="Compact"/>
      </w:pPr>
      <w:r>
        <w:rPr>
          <w:bCs/>
          <w:b/>
        </w:rPr>
        <w:t xml:space="preserve">Digital Engagement:</w:t>
      </w:r>
      <w:r>
        <w:t xml:space="preserve"> </w:t>
      </w:r>
      <w:r>
        <w:t xml:space="preserve">Targeted social media campaigns using Wellington-centric hashtags (#WellingtonBakes) reached 85% local residents. The "Baker's Wellington Walk" Instagram challenge (photographing Baker items at landmarks like the Basin Reserve) drove a 22% increase in app downloads.</w:t>
      </w:r>
    </w:p>
    <w:bookmarkEnd w:id="25"/>
    <w:bookmarkStart w:id="26" w:name="financial-outlook-future-focus"/>
    <w:p>
      <w:pPr>
        <w:pStyle w:val="Heading2"/>
      </w:pPr>
      <w:r>
        <w:t xml:space="preserve">Financial Outlook &amp; Future Focus</w:t>
      </w:r>
    </w:p>
    <w:p>
      <w:pPr>
        <w:pStyle w:val="FirstParagraph"/>
      </w:pPr>
      <w:r>
        <w:t xml:space="preserve">The robust Q1 performance positions Baker for sustained growth in New Zealand Wellington. Our projected Q2 2024 revenue is $198,000, driven by summer demand and the upcoming Wellington Jazz Festival partnership. Key strategic focuses include:</w:t>
      </w:r>
    </w:p>
    <w:p>
      <w:pPr>
        <w:numPr>
          <w:ilvl w:val="0"/>
          <w:numId w:val="1002"/>
        </w:numPr>
        <w:pStyle w:val="Compact"/>
      </w:pPr>
      <w:r>
        <w:t xml:space="preserve">Opening a second location in the vibrant Karori neighborhood (high growth area in Wellington)</w:t>
      </w:r>
    </w:p>
    <w:p>
      <w:pPr>
        <w:numPr>
          <w:ilvl w:val="0"/>
          <w:numId w:val="1002"/>
        </w:numPr>
        <w:pStyle w:val="Compact"/>
      </w:pPr>
      <w:r>
        <w:t xml:space="preserve">Developing a "Wellington Pantry" subscription box featuring 3 locally-sourced items monthly</w:t>
      </w:r>
    </w:p>
    <w:p>
      <w:pPr>
        <w:numPr>
          <w:ilvl w:val="0"/>
          <w:numId w:val="1002"/>
        </w:numPr>
        <w:pStyle w:val="Compact"/>
      </w:pPr>
      <w:r>
        <w:t xml:space="preserve">Expanding wholesale partnerships to include 5 additional Wellington cafes by June</w:t>
      </w:r>
    </w:p>
    <w:bookmarkEnd w:id="26"/>
    <w:bookmarkStart w:id="27" w:name="X15717533623f60fd3a8dde8bf083c856b3268dd"/>
    <w:p>
      <w:pPr>
        <w:pStyle w:val="Heading2"/>
      </w:pPr>
      <w:r>
        <w:t xml:space="preserve">Conclusion: Baker's Integral Role in Wellington's Food Culture</w:t>
      </w:r>
    </w:p>
    <w:p>
      <w:pPr>
        <w:pStyle w:val="FirstParagraph"/>
      </w:pPr>
      <w:r>
        <w:t xml:space="preserve">This Sales Report unequivocally demonstrates that Baker is not merely a bakery but a cornerstone of New Zealand Wellington’s culinary identity. The consistent growth, deep community integration, and strategic responsiveness to local needs prove that Baker has mastered the unique demands of operating within Wellington. As the city continues to evolve as a global food destination, Baker’s commitment to authenticity—using locally sourced ingredients, supporting Wellington artisans, and engaging with residents—ensures its position as a market leader. We project 30% annual growth for Baker in New Zealand Wellington over the next two years, driven by unwavering community trust and hyper-localized innovation.</w:t>
      </w:r>
    </w:p>
    <w:p>
      <w:pPr>
        <w:pStyle w:val="BodyText"/>
      </w:pPr>
      <w:r>
        <w:rPr>
          <w:bCs/>
          <w:b/>
        </w:rPr>
        <w:t xml:space="preserve">Prepared for:</w:t>
      </w:r>
      <w:r>
        <w:t xml:space="preserve"> </w:t>
      </w:r>
      <w:r>
        <w:t xml:space="preserve">Baker Management Team</w:t>
      </w:r>
      <w:r>
        <w:br/>
      </w:r>
      <w:r>
        <w:rPr>
          <w:bCs/>
          <w:b/>
        </w:rPr>
        <w:t xml:space="preserve">Date:</w:t>
      </w:r>
      <w:r>
        <w:t xml:space="preserve"> </w:t>
      </w:r>
      <w:r>
        <w:t xml:space="preserve">April 15, 2024</w:t>
      </w:r>
      <w:r>
        <w:br/>
      </w:r>
      <w:r>
        <w:rPr>
          <w:bCs/>
          <w:b/>
        </w:rPr>
        <w:t xml:space="preserve">Report Period:</w:t>
      </w:r>
      <w:r>
        <w:t xml:space="preserve"> </w:t>
      </w:r>
      <w:r>
        <w:t xml:space="preserve">January 1 - March 31,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Baker Sales Report: Q1 2024 Performance</dc:title>
  <dc:creator/>
  <dc:language>en</dc:language>
  <cp:keywords/>
  <dcterms:created xsi:type="dcterms:W3CDTF">2026-07-24T12:11:49Z</dcterms:created>
  <dcterms:modified xsi:type="dcterms:W3CDTF">2026-07-24T12:11:49Z</dcterms:modified>
</cp:coreProperties>
</file>

<file path=docProps/custom.xml><?xml version="1.0" encoding="utf-8"?>
<Properties xmlns="http://schemas.openxmlformats.org/officeDocument/2006/custom-properties" xmlns:vt="http://schemas.openxmlformats.org/officeDocument/2006/docPropsVTypes"/>
</file>