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Korea</w:t>
      </w:r>
      <w:r>
        <w:t xml:space="preserve"> </w:t>
      </w:r>
      <w:r>
        <w:t xml:space="preserve">Seoul</w:t>
      </w:r>
      <w:r>
        <w:t xml:space="preserve"> </w:t>
      </w:r>
      <w:r>
        <w:t xml:space="preserve">Baker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35" w:name="X9c9886d9665d5db77209e398f3c5075d0efe0c5"/>
    <w:p>
      <w:pPr>
        <w:pStyle w:val="Heading1"/>
      </w:pPr>
      <w:r>
        <w:t xml:space="preserve">SALES REPORT FOR BAKER IN SOUTH KOREA SEOUL MARKET</w:t>
      </w:r>
    </w:p>
    <w:p>
      <w:pPr>
        <w:pStyle w:val="FirstParagraph"/>
      </w:pPr>
      <w:r>
        <w:t xml:space="preserve">Q3 2024 | Confidential Internal Document | Prepared for Global Leadership Team</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bCs/>
          <w:b/>
        </w:rPr>
        <w:t xml:space="preserve">Baker</w:t>
      </w:r>
      <w:r>
        <w:t xml:space="preserve"> </w:t>
      </w:r>
      <w:r>
        <w:t xml:space="preserve">operations across Seoul, South Korea during the third quarter of 2024. As a premium bakery chain focused on artisanal bread and specialty pastries, Baker has established significant market presence in Seoul's competitive food retail landscape. The Q3 results demonstrate exceptional growth trajectory with a 28% year-over-year sales increase, surpassing all regional targets. This report analyzes key drivers behind our success in</w:t>
      </w:r>
      <w:r>
        <w:t xml:space="preserve"> </w:t>
      </w:r>
      <w:r>
        <w:rPr>
          <w:bCs/>
          <w:b/>
        </w:rPr>
        <w:t xml:space="preserve">South Korea Seoul</w:t>
      </w:r>
      <w:r>
        <w:t xml:space="preserve">, identifies emerging opportunities within the local market dynamics, and outlines strategic recommendations for sustained expansion.</w:t>
      </w:r>
    </w:p>
    <w:bookmarkEnd w:id="20"/>
    <w:bookmarkStart w:id="21" w:name="X37f2a5a002d1fddb476a733974ec4cfb05ef234"/>
    <w:p>
      <w:pPr>
        <w:pStyle w:val="Heading2"/>
      </w:pPr>
      <w:r>
        <w:t xml:space="preserve">Market Context: Seoul's Bakery Industry Dynamics</w:t>
      </w:r>
    </w:p>
    <w:p>
      <w:pPr>
        <w:pStyle w:val="FirstParagraph"/>
      </w:pPr>
      <w:r>
        <w:t xml:space="preserve">Seoul represents the epicenter of South Korea's premium bakery market, where urban consumers increasingly prioritize quality ingredients and experiential dining. The city's unique cultural blend of traditional Korean flavors with international culinary trends has created fertile ground for brands like</w:t>
      </w:r>
      <w:r>
        <w:t xml:space="preserve"> </w:t>
      </w:r>
      <w:r>
        <w:rPr>
          <w:bCs/>
          <w:b/>
        </w:rPr>
        <w:t xml:space="preserve">Baker</w:t>
      </w:r>
      <w:r>
        <w:t xml:space="preserve">. Recent market analysis by Seoul Food Institute reveals that Seoul residents spend 17% more on specialty baked goods than the national average, driven by rising disposable incomes and growing health consciousness. This environment has positioned Baker as a key player in</w:t>
      </w:r>
      <w:r>
        <w:t xml:space="preserve"> </w:t>
      </w:r>
      <w:r>
        <w:rPr>
          <w:bCs/>
          <w:b/>
        </w:rPr>
        <w:t xml:space="preserve">South Korea Seoul</w:t>
      </w:r>
      <w:r>
        <w:t xml:space="preserve">'s premium food segment.</w:t>
      </w:r>
    </w:p>
    <w:bookmarkEnd w:id="21"/>
    <w:bookmarkStart w:id="25" w:name="q3-sales-performance-highlights"/>
    <w:p>
      <w:pPr>
        <w:pStyle w:val="Heading2"/>
      </w:pPr>
      <w:r>
        <w:t xml:space="preserve">Q3 Sales Performance Highlights</w:t>
      </w:r>
    </w:p>
    <w:bookmarkStart w:id="22" w:name="revenue-and-market-share-growth"/>
    <w:p>
      <w:pPr>
        <w:pStyle w:val="Heading3"/>
      </w:pPr>
      <w:r>
        <w:t xml:space="preserve">Revenue and Market Share Growth</w:t>
      </w:r>
    </w:p>
    <w:p>
      <w:pPr>
        <w:pStyle w:val="FirstParagraph"/>
      </w:pPr>
      <w:r>
        <w:t xml:space="preserve">Seoul operations generated ₩18.7 billion in Q3 2024, marking a significant increase from ₩14.6 billion during the same period last year. This represents a 28% YoY growth rate, substantially outperforming the Seoul bakery market's average of 15%. Baker now holds an estimated 9.3% market share in Seoul's premium bakery segment (up from 7.8% in Q2), placing us firmly among the top three players alongside global chains and established Korean brands.</w:t>
      </w:r>
    </w:p>
    <w:bookmarkEnd w:id="22"/>
    <w:bookmarkStart w:id="23" w:name="product-category-performance"/>
    <w:p>
      <w:pPr>
        <w:pStyle w:val="Heading3"/>
      </w:pPr>
      <w:r>
        <w:t xml:space="preserve">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Market Share Contribution</w:t>
            </w:r>
          </w:p>
        </w:tc>
      </w:tr>
      <w:tr>
        <w:tc>
          <w:tcPr/>
          <w:p>
            <w:pPr>
              <w:pStyle w:val="Compact"/>
              <w:jc w:val="left"/>
            </w:pPr>
            <w:r>
              <w:t xml:space="preserve">Premium Artisan Bread</w:t>
            </w:r>
          </w:p>
        </w:tc>
        <w:tc>
          <w:tcPr/>
          <w:p>
            <w:pPr>
              <w:pStyle w:val="Compact"/>
              <w:jc w:val="left"/>
            </w:pPr>
            <w:r>
              <w:t xml:space="preserve">7,200,000,000</w:t>
            </w:r>
          </w:p>
        </w:tc>
        <w:tc>
          <w:tcPr/>
          <w:p>
            <w:pPr>
              <w:pStyle w:val="Compact"/>
              <w:jc w:val="left"/>
            </w:pPr>
            <w:r>
              <w:t xml:space="preserve">34%</w:t>
            </w:r>
          </w:p>
        </w:tc>
        <w:tc>
          <w:tcPr/>
          <w:p>
            <w:pPr>
              <w:pStyle w:val="Compact"/>
              <w:jc w:val="left"/>
            </w:pPr>
            <w:r>
              <w:t xml:space="preserve">38.5%</w:t>
            </w:r>
          </w:p>
        </w:tc>
      </w:tr>
      <w:tr>
        <w:tc>
          <w:tcPr/>
          <w:p>
            <w:pPr>
              <w:pStyle w:val="Compact"/>
              <w:jc w:val="left"/>
            </w:pPr>
            <w:r>
              <w:t xml:space="preserve">Korean Fusion Pastries</w:t>
            </w:r>
          </w:p>
        </w:tc>
        <w:tc>
          <w:tcPr/>
          <w:p>
            <w:pPr>
              <w:pStyle w:val="Compact"/>
              <w:jc w:val="left"/>
            </w:pPr>
            <w:r>
              <w:t xml:space="preserve">5,124,500,000</w:t>
            </w:r>
          </w:p>
        </w:tc>
        <w:tc>
          <w:tcPr/>
          <w:p>
            <w:pPr>
              <w:pStyle w:val="Compact"/>
              <w:jc w:val="left"/>
            </w:pPr>
            <w:r>
              <w:t xml:space="preserve">29%</w:t>
            </w:r>
          </w:p>
        </w:tc>
        <w:tc>
          <w:tcPr/>
          <w:p>
            <w:pPr>
              <w:pStyle w:val="Compact"/>
              <w:jc w:val="left"/>
            </w:pPr>
            <w:r>
              <w:t xml:space="preserve">27.4%</w:t>
            </w:r>
          </w:p>
        </w:tc>
      </w:tr>
      <w:tr>
        <w:tc>
          <w:tcPr/>
          <w:p>
            <w:pPr>
              <w:pStyle w:val="Compact"/>
              <w:jc w:val="left"/>
            </w:pPr>
            <w:r>
              <w:t xml:space="preserve">Coffee &amp; Pastry Bundles</w:t>
            </w:r>
          </w:p>
        </w:tc>
        <w:tc>
          <w:tcPr/>
          <w:p>
            <w:pPr>
              <w:pStyle w:val="Compact"/>
              <w:jc w:val="left"/>
            </w:pPr>
            <w:r>
              <w:t xml:space="preserve">4,365,000,000</w:t>
            </w:r>
          </w:p>
        </w:tc>
        <w:tc>
          <w:tcPr/>
          <w:p>
            <w:pPr>
              <w:pStyle w:val="Compact"/>
              <w:jc w:val="left"/>
            </w:pPr>
            <w:r>
              <w:t xml:space="preserve">22%</w:t>
            </w:r>
          </w:p>
        </w:tc>
        <w:tc>
          <w:tcPr/>
          <w:p>
            <w:pPr>
              <w:pStyle w:val="Compact"/>
              <w:jc w:val="left"/>
            </w:pPr>
            <w:r>
              <w:t xml:space="preserve">23.3%</w:t>
            </w:r>
          </w:p>
        </w:tc>
      </w:tr>
      <w:tr>
        <w:tc>
          <w:tcPr/>
          <w:p>
            <w:pPr>
              <w:pStyle w:val="Compact"/>
              <w:jc w:val="left"/>
            </w:pPr>
            <w:r>
              <w:t xml:space="preserve">Specialty Cakes &amp; Desserts</w:t>
            </w:r>
          </w:p>
        </w:tc>
        <w:tc>
          <w:tcPr/>
          <w:p>
            <w:pPr>
              <w:pStyle w:val="Compact"/>
              <w:jc w:val="left"/>
            </w:pPr>
            <w:r>
              <w:t xml:space="preserve">2,018,500,000</w:t>
            </w:r>
          </w:p>
        </w:tc>
        <w:tc>
          <w:tcPr/>
          <w:p>
            <w:pPr>
              <w:pStyle w:val="Compact"/>
              <w:jc w:val="left"/>
            </w:pPr>
            <w:r>
              <w:t xml:space="preserve">41%</w:t>
            </w:r>
          </w:p>
        </w:tc>
        <w:tc>
          <w:tcPr/>
          <w:p>
            <w:pPr>
              <w:pStyle w:val="Compact"/>
              <w:jc w:val="left"/>
            </w:pPr>
            <w:r>
              <w:t xml:space="preserve">10.8%</w:t>
            </w:r>
          </w:p>
        </w:tc>
      </w:tr>
    </w:tbl>
    <w:bookmarkEnd w:id="23"/>
    <w:bookmarkStart w:id="24" w:name="store-performance-metrics"/>
    <w:p>
      <w:pPr>
        <w:pStyle w:val="Heading3"/>
      </w:pPr>
      <w:r>
        <w:t xml:space="preserve">Store Performance Metrics</w:t>
      </w:r>
    </w:p>
    <w:p>
      <w:pPr>
        <w:pStyle w:val="FirstParagraph"/>
      </w:pPr>
      <w:r>
        <w:t xml:space="preserve">All Baker locations in Seoul achieved positive same-store sales growth, with the Gangnam flagship store leading at 42% YoY increase. The strategic placement of bakeries in high-traffic districts (Gangnam, Hongdae, Itaewon) has proven highly effective. Notably, our new Myeongdong location—opened in Q1 2024—achieved full profitability within four months and is now the highest-grossing store in Seoul. Customer satisfaction scores reached an all-time high of 4.7/5 across all locations.</w:t>
      </w:r>
    </w:p>
    <w:bookmarkEnd w:id="24"/>
    <w:bookmarkEnd w:id="25"/>
    <w:bookmarkStart w:id="29" w:name="key-drivers-of-success-in-seoul"/>
    <w:p>
      <w:pPr>
        <w:pStyle w:val="Heading2"/>
      </w:pPr>
      <w:r>
        <w:t xml:space="preserve">Key Drivers of Success in Seoul</w:t>
      </w:r>
    </w:p>
    <w:bookmarkStart w:id="26" w:name="cultural-integration-strategy"/>
    <w:p>
      <w:pPr>
        <w:pStyle w:val="Heading3"/>
      </w:pPr>
      <w:r>
        <w:t xml:space="preserve">Cultural Integration Strategy</w:t>
      </w:r>
    </w:p>
    <w:p>
      <w:pPr>
        <w:pStyle w:val="FirstParagraph"/>
      </w:pPr>
      <w:r>
        <w:t xml:space="preserve">Baker's success in</w:t>
      </w:r>
      <w:r>
        <w:t xml:space="preserve"> </w:t>
      </w:r>
      <w:r>
        <w:rPr>
          <w:bCs/>
          <w:b/>
        </w:rPr>
        <w:t xml:space="preserve">South Korea Seoul</w:t>
      </w:r>
      <w:r>
        <w:t xml:space="preserve"> </w:t>
      </w:r>
      <w:r>
        <w:t xml:space="preserve">stems from our deliberate cultural adaptation. Rather than importing Western bakery models, we developed signature products that harmonize Korean ingredients with European techniques. Our 'Kimchi Croissant' and 'Matcha Black Sesame Brioche' became viral sensations on Seoul social media platforms, driving both foot traffic and digital engagement. This culturally resonant approach has been pivotal in building brand affinity among local consumers.</w:t>
      </w:r>
    </w:p>
    <w:bookmarkEnd w:id="26"/>
    <w:bookmarkStart w:id="27" w:name="digital-engagement-loyalty-program"/>
    <w:p>
      <w:pPr>
        <w:pStyle w:val="Heading3"/>
      </w:pPr>
      <w:r>
        <w:t xml:space="preserve">Digital Engagement &amp; Loyalty Program</w:t>
      </w:r>
    </w:p>
    <w:p>
      <w:pPr>
        <w:pStyle w:val="FirstParagraph"/>
      </w:pPr>
      <w:r>
        <w:t xml:space="preserve">Our 'Baker Seoul Pass' mobile app, launched in Q1 2024, now boasts over 187,000 active users in the city. The app's integration with KakaoPay and personalized promotions has increased customer retention by 35% compared to previous loyalty programs. Social media campaigns featuring local Seoul influencers (with over 45 million combined followers) generated unprecedented engagement rates of 12.7%—well above the industry average of 4.2%.</w:t>
      </w:r>
    </w:p>
    <w:bookmarkEnd w:id="27"/>
    <w:bookmarkStart w:id="28" w:name="operational-excellence"/>
    <w:p>
      <w:pPr>
        <w:pStyle w:val="Heading3"/>
      </w:pPr>
      <w:r>
        <w:t xml:space="preserve">Operational Excellence</w:t>
      </w:r>
    </w:p>
    <w:p>
      <w:pPr>
        <w:pStyle w:val="FirstParagraph"/>
      </w:pPr>
      <w:r>
        <w:t xml:space="preserve">Seoul's supply chain optimization has been instrumental in maintaining product quality during peak seasons. By partnering with local Korean suppliers for seasonal ingredients (like fresh chestnuts from Gangwon Province and honey from Jeju Island), we've reduced lead times by 40% while supporting regional agriculture. This commitment to local sourcing resonates deeply with Seoul consumers who prioritize sustainable practices.</w:t>
      </w:r>
    </w:p>
    <w:bookmarkEnd w:id="28"/>
    <w:bookmarkEnd w:id="29"/>
    <w:bookmarkStart w:id="32" w:name="challenges-and-strategic-imperatives"/>
    <w:p>
      <w:pPr>
        <w:pStyle w:val="Heading2"/>
      </w:pPr>
      <w:r>
        <w:t xml:space="preserve">Challenges and Strategic Imperatives</w:t>
      </w:r>
    </w:p>
    <w:bookmarkStart w:id="30" w:name="competitive-pressures"/>
    <w:p>
      <w:pPr>
        <w:pStyle w:val="Heading3"/>
      </w:pPr>
      <w:r>
        <w:t xml:space="preserve">Competitive Pressures</w:t>
      </w:r>
    </w:p>
    <w:p>
      <w:pPr>
        <w:pStyle w:val="FirstParagraph"/>
      </w:pPr>
      <w:r>
        <w:t xml:space="preserve">Despite strong performance, we face intensifying competition from both global brands expanding into Seoul and local Korean bakeries leveraging traditional recipes. The emergence of 'K-Beauty Bakery' concepts (focusing on skincare benefits in food) presents both a challenge and opportunity for Baker to innovate further.</w:t>
      </w:r>
    </w:p>
    <w:bookmarkEnd w:id="30"/>
    <w:bookmarkStart w:id="31" w:name="market-expansion-opportunities"/>
    <w:p>
      <w:pPr>
        <w:pStyle w:val="Heading3"/>
      </w:pPr>
      <w:r>
        <w:t xml:space="preserve">Market Expansion Opportunities</w:t>
      </w:r>
    </w:p>
    <w:p>
      <w:pPr>
        <w:pStyle w:val="FirstParagraph"/>
      </w:pPr>
      <w:r>
        <w:t xml:space="preserve">Seoul's expanding premium retail corridors present untapped potential. We recommend prioritizing two key expansion areas: (1) Developing bakery kiosks within Seoul's growing 'smart office' complexes (already piloted at Samsung HQ with 23% revenue uplift), and (2) Launching a dedicated delivery service for Seoul's high-rise residential communities where our current delivery penetration is only 18%.</w:t>
      </w:r>
    </w:p>
    <w:bookmarkEnd w:id="31"/>
    <w:bookmarkEnd w:id="32"/>
    <w:bookmarkStart w:id="33" w:name="conclusion-and-strategic-recommendations"/>
    <w:p>
      <w:pPr>
        <w:pStyle w:val="Heading2"/>
      </w:pPr>
      <w:r>
        <w:t xml:space="preserve">Conclusion and Strategic Recommendations</w:t>
      </w:r>
    </w:p>
    <w:p>
      <w:pPr>
        <w:pStyle w:val="FirstParagraph"/>
      </w:pPr>
      <w:r>
        <w:t xml:space="preserve">This Sales Report confirms Baker's successful positioning within the South Korea Seoul market, demonstrating that culturally intelligent adaptation combined with operational excellence drives exceptional results. The Q3 performance validates our strategic investment in Seoul as a flagship Asian market. To sustain this momentum, we propose the following actions:</w:t>
      </w:r>
    </w:p>
    <w:p>
      <w:pPr>
        <w:numPr>
          <w:ilvl w:val="0"/>
          <w:numId w:val="1001"/>
        </w:numPr>
        <w:pStyle w:val="Compact"/>
      </w:pPr>
      <w:r>
        <w:rPr>
          <w:bCs/>
          <w:b/>
        </w:rPr>
        <w:t xml:space="preserve">Accelerate Korean Fusion Product Development:</w:t>
      </w:r>
      <w:r>
        <w:t xml:space="preserve"> </w:t>
      </w:r>
      <w:r>
        <w:t xml:space="preserve">Allocate ₩3.2 billion for R&amp;D to create 4 new Seoul-specific products by Q1 2025, leveraging local festivals and seasonal ingredients.</w:t>
      </w:r>
    </w:p>
    <w:p>
      <w:pPr>
        <w:numPr>
          <w:ilvl w:val="0"/>
          <w:numId w:val="1001"/>
        </w:numPr>
        <w:pStyle w:val="Compact"/>
      </w:pPr>
      <w:r>
        <w:rPr>
          <w:bCs/>
          <w:b/>
        </w:rPr>
        <w:t xml:space="preserve">Expand Digital Footprint:</w:t>
      </w:r>
      <w:r>
        <w:t xml:space="preserve"> </w:t>
      </w:r>
      <w:r>
        <w:t xml:space="preserve">Implement AI-powered personalized offers via the Baker Seoul Pass app, targeting a 50% increase in repeat customer frequency within 12 months.</w:t>
      </w:r>
    </w:p>
    <w:p>
      <w:pPr>
        <w:numPr>
          <w:ilvl w:val="0"/>
          <w:numId w:val="1001"/>
        </w:numPr>
        <w:pStyle w:val="Compact"/>
      </w:pPr>
      <w:r>
        <w:rPr>
          <w:bCs/>
          <w:b/>
        </w:rPr>
        <w:t xml:space="preserve">Cultivate Local Partnerships:</w:t>
      </w:r>
      <w:r>
        <w:t xml:space="preserve"> </w:t>
      </w:r>
      <w:r>
        <w:t xml:space="preserve">Forge alliances with Seoul-based wellness brands (e.g., Korean beauty companies) for co-branded product lines that align with local health trends.</w:t>
      </w:r>
    </w:p>
    <w:p>
      <w:pPr>
        <w:numPr>
          <w:ilvl w:val="0"/>
          <w:numId w:val="1001"/>
        </w:numPr>
        <w:pStyle w:val="Compact"/>
      </w:pPr>
      <w:r>
        <w:rPr>
          <w:bCs/>
          <w:b/>
        </w:rPr>
        <w:t xml:space="preserve">Strengthen Supply Chain Resilience:</w:t>
      </w:r>
      <w:r>
        <w:t xml:space="preserve"> </w:t>
      </w:r>
      <w:r>
        <w:t xml:space="preserve">Develop a second local sourcing hub in Busan to mitigate Seoul-specific supply chain risks while maintaining 98% freshness guarantee.</w:t>
      </w:r>
    </w:p>
    <w:p>
      <w:pPr>
        <w:pStyle w:val="FirstParagraph"/>
      </w:pPr>
      <w:r>
        <w:t xml:space="preserve">The South Korea Seoul market represents Baker's most promising Asian growth engine. By doubling down on cultural integration, digital innovation, and operational excellence as demonstrated in this Q3 Sales Report, we project 35%+ annual growth for Seoul operations through 2025. Our success here will serve as the blueprint for Baker's broader Asia Pacific expansion.</w:t>
      </w:r>
    </w:p>
    <w:bookmarkEnd w:id="33"/>
    <w:bookmarkStart w:id="34" w:name="appendix-key-performance-indicators"/>
    <w:p>
      <w:pPr>
        <w:pStyle w:val="Heading2"/>
      </w:pPr>
      <w:r>
        <w:t xml:space="preserve">Appendix: 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18,708,000,000</w:t>
            </w:r>
          </w:p>
        </w:tc>
        <w:tc>
          <w:tcPr/>
          <w:p>
            <w:pPr>
              <w:pStyle w:val="Compact"/>
              <w:jc w:val="left"/>
            </w:pPr>
            <w:r>
              <w:t xml:space="preserve">14,625,423,125</w:t>
            </w:r>
          </w:p>
        </w:tc>
        <w:tc>
          <w:tcPr/>
          <w:p>
            <w:pPr>
              <w:pStyle w:val="Compact"/>
              <w:jc w:val="left"/>
            </w:pPr>
            <w:r>
              <w:t xml:space="preserve">+28.3%</w:t>
            </w:r>
          </w:p>
        </w:tc>
      </w:tr>
      <w:tr>
        <w:tc>
          <w:tcPr/>
          <w:p>
            <w:pPr>
              <w:pStyle w:val="Compact"/>
              <w:jc w:val="left"/>
            </w:pPr>
            <w:r>
              <w:t xml:space="preserve">Average Transaction Value (₩)</w:t>
            </w:r>
          </w:p>
        </w:tc>
        <w:tc>
          <w:tcPr/>
          <w:p>
            <w:pPr>
              <w:pStyle w:val="Compact"/>
              <w:jc w:val="left"/>
            </w:pPr>
            <w:r>
              <w:t xml:space="preserve">8,750</w:t>
            </w:r>
          </w:p>
        </w:tc>
        <w:tc>
          <w:tcPr/>
          <w:p>
            <w:pPr>
              <w:pStyle w:val="Compact"/>
              <w:jc w:val="left"/>
            </w:pPr>
            <w:r>
              <w:t xml:space="preserve">7,420</w:t>
            </w:r>
          </w:p>
        </w:tc>
        <w:tc>
          <w:tcPr/>
          <w:p>
            <w:pPr>
              <w:pStyle w:val="Compact"/>
              <w:jc w:val="left"/>
            </w:pPr>
            <w:r>
              <w:t xml:space="preserve">+17.9%</w:t>
            </w:r>
          </w:p>
        </w:tc>
      </w:tr>
      <w:tr>
        <w:tc>
          <w:tcPr/>
          <w:p>
            <w:pPr>
              <w:pStyle w:val="Compact"/>
              <w:jc w:val="left"/>
            </w:pPr>
            <w:r>
              <w:t xml:space="preserve">Daily Foot Traffic (Avg.)</w:t>
            </w:r>
          </w:p>
        </w:tc>
        <w:tc>
          <w:tcPr/>
          <w:p>
            <w:pPr>
              <w:pStyle w:val="Compact"/>
              <w:jc w:val="left"/>
            </w:pPr>
            <w:r>
              <w:t xml:space="preserve">1,245 customers/store/day</w:t>
            </w:r>
          </w:p>
        </w:tc>
        <w:tc>
          <w:tcPr/>
          <w:p>
            <w:pPr>
              <w:pStyle w:val="Compact"/>
              <w:jc w:val="left"/>
            </w:pPr>
            <w:r>
              <w:t xml:space="preserve">968 customers/store/day</w:t>
            </w:r>
          </w:p>
        </w:tc>
        <w:tc>
          <w:tcPr/>
          <w:p>
            <w:pPr>
              <w:pStyle w:val="Compact"/>
              <w:jc w:val="left"/>
            </w:pPr>
            <w:r>
              <w:t xml:space="preserve">+28.6%</w:t>
            </w:r>
          </w:p>
        </w:tc>
      </w:tr>
      <w:tr>
        <w:tc>
          <w:tcPr/>
          <w:p>
            <w:pPr>
              <w:pStyle w:val="Compact"/>
              <w:jc w:val="left"/>
            </w:pPr>
            <w:r>
              <w:t xml:space="preserve">Loyalty Program Enrollment Rate</w:t>
            </w:r>
          </w:p>
        </w:tc>
        <w:tc>
          <w:tcPr/>
          <w:p>
            <w:pPr>
              <w:pStyle w:val="Compact"/>
              <w:jc w:val="left"/>
            </w:pPr>
            <w:r>
              <w:t xml:space="preserve">37.2%</w:t>
            </w:r>
          </w:p>
        </w:tc>
        <w:tc>
          <w:tcPr/>
          <w:p>
            <w:pPr>
              <w:pStyle w:val="Compact"/>
              <w:jc w:val="left"/>
            </w:pPr>
            <w:r>
              <w:t xml:space="preserve">25.4%</w:t>
            </w:r>
          </w:p>
        </w:tc>
        <w:tc>
          <w:tcPr/>
          <w:p>
            <w:pPr>
              <w:pStyle w:val="Compact"/>
              <w:jc w:val="left"/>
            </w:pPr>
            <w:r>
              <w:t xml:space="preserve">+46.5%</w:t>
            </w:r>
          </w:p>
        </w:tc>
      </w:tr>
    </w:tbl>
    <w:p>
      <w:pPr>
        <w:pStyle w:val="BodyText"/>
      </w:pPr>
      <w:r>
        <w:t xml:space="preserve">Prepared by Global Sales Strategy Team | Baker International | October 15,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Korea Seoul Baker Sales Report - Q3 2024</dc:title>
  <dc:creator/>
  <dc:language>en</dc:language>
  <cp:keywords/>
  <dcterms:created xsi:type="dcterms:W3CDTF">2026-07-23T21:00:19Z</dcterms:created>
  <dcterms:modified xsi:type="dcterms:W3CDTF">2026-07-23T21:00:19Z</dcterms:modified>
</cp:coreProperties>
</file>

<file path=docProps/custom.xml><?xml version="1.0" encoding="utf-8"?>
<Properties xmlns="http://schemas.openxmlformats.org/officeDocument/2006/custom-properties" xmlns:vt="http://schemas.openxmlformats.org/officeDocument/2006/docPropsVTypes"/>
</file>