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ffe625c528fd23d44e50d8bc090cd6f08465f2b"/>
    <w:p>
      <w:pPr>
        <w:pStyle w:val="Heading1"/>
      </w:pPr>
      <w:r>
        <w:t xml:space="preserve">Quarterly Sales Report for Baker | United Arab Emirates Dubai Market</w:t>
      </w:r>
    </w:p>
    <w:p>
      <w:pPr>
        <w:pStyle w:val="FirstParagraph"/>
      </w:pPr>
      <w:r>
        <w:t xml:space="preserve">Report Period: Q2 2024 (April 1 - June 30, 2024) | Prepared For Management Team | Date: July 15, 2024</w:t>
      </w:r>
    </w:p>
    <w:bookmarkStart w:id="20" w:name="executive-summary"/>
    <w:p>
      <w:pPr>
        <w:pStyle w:val="Heading2"/>
      </w:pPr>
      <w:r>
        <w:t xml:space="preserve">Executive Summary</w:t>
      </w:r>
    </w:p>
    <w:p>
      <w:pPr>
        <w:pStyle w:val="FirstParagraph"/>
      </w:pPr>
      <w:r>
        <w:t xml:space="preserve">This comprehensive Sales Report details the performance of Baker across the United Arab Emirates Dubai market during Q2 2024. As a leading specialty bakery brand operating within the competitive UAE foodservice landscape, Baker demonstrated remarkable resilience and growth momentum. The report confirms that Baker achieved a 15.3% year-over-year sales increase in Dubai, significantly outperforming regional market averages of 7.8%. This success underscores Baker's strategic positioning within the United Arab Emirates Dubai culinary scene and validates our premium product portfolio approach. Key drivers included strong demand for Ramadan-specialty items, expansion into high-traffic retail partnerships, and exceptional customer retention rates among Dubai's expatriate community.</w:t>
      </w:r>
    </w:p>
    <w:bookmarkEnd w:id="20"/>
    <w:bookmarkStart w:id="21" w:name="X2d1e41ea9ed3eeebedc59d09a59d6093a7d8225"/>
    <w:p>
      <w:pPr>
        <w:pStyle w:val="Heading2"/>
      </w:pPr>
      <w:r>
        <w:t xml:space="preserve">Key Performance Indicators (Q2 2024 vs Q1 2024)</w:t>
      </w:r>
    </w:p>
    <w:p>
      <w:pPr>
        <w:pStyle w:val="FirstParagraph"/>
      </w:pPr>
      <w:r>
        <w:t xml:space="preserve">Metric</w:t>
      </w:r>
    </w:p>
    <w:p>
      <w:pPr>
        <w:pStyle w:val="BodyText"/>
      </w:pPr>
      <w:r>
        <w:t xml:space="preserve">Q2 2024</w:t>
      </w:r>
    </w:p>
    <w:p>
      <w:pPr>
        <w:pStyle w:val="BodyText"/>
      </w:pPr>
      <w:r>
        <w:t xml:space="preserve">Q1 2024</w:t>
      </w:r>
    </w:p>
    <w:p>
      <w:pPr>
        <w:pStyle w:val="BodyText"/>
      </w:pPr>
      <w:r>
        <w:t xml:space="preserve">% Change</w:t>
      </w:r>
    </w:p>
    <w:p>
      <w:pPr>
        <w:pStyle w:val="BodyText"/>
      </w:pPr>
      <w:r>
        <w:t xml:space="preserve">Total Revenue (AED)</w:t>
      </w:r>
    </w:p>
    <w:p>
      <w:pPr>
        <w:pStyle w:val="BodyText"/>
      </w:pPr>
      <w:r>
        <w:t xml:space="preserve">8,750,000</w:t>
      </w:r>
    </w:p>
    <w:p>
      <w:pPr>
        <w:pStyle w:val="BodyText"/>
      </w:pPr>
      <w:r>
        <w:t xml:space="preserve">7,395,000</w:t>
      </w:r>
    </w:p>
    <w:p>
      <w:pPr>
        <w:pStyle w:val="BodyText"/>
      </w:pPr>
      <w:r>
        <w:t xml:space="preserve">+18.3%</w:t>
      </w:r>
    </w:p>
    <w:p>
      <w:pPr>
        <w:pStyle w:val="BodyText"/>
      </w:pPr>
      <w:r>
        <w:t xml:space="preserve">Units Sold</w:t>
      </w:r>
    </w:p>
    <w:p>
      <w:pPr>
        <w:pStyle w:val="BodyText"/>
      </w:pPr>
      <w:r>
        <w:t xml:space="preserve">286,450</w:t>
      </w:r>
    </w:p>
    <w:p>
      <w:pPr>
        <w:pStyle w:val="BodyText"/>
      </w:pPr>
      <w:r>
        <w:t xml:space="preserve">241,725</w:t>
      </w:r>
    </w:p>
    <w:p>
      <w:pPr>
        <w:pStyle w:val="BodyText"/>
      </w:pPr>
      <w:r>
        <w:t xml:space="preserve">+18.5%</w:t>
      </w:r>
    </w:p>
    <w:p>
      <w:pPr>
        <w:pStyle w:val="BodyText"/>
      </w:pPr>
      <w:r>
        <w:t xml:space="preserve">Average Transaction Value (AED)</w:t>
      </w:r>
    </w:p>
    <w:p>
      <w:pPr>
        <w:pStyle w:val="BodyText"/>
      </w:pPr>
      <w:r>
        <w:t xml:space="preserve">&lt;</w:t>
      </w:r>
    </w:p>
    <w:p>
      <w:pPr>
        <w:pStyle w:val="BodyText"/>
      </w:pPr>
      <w:r>
        <w:t xml:space="preserve">30.50</w:t>
      </w:r>
    </w:p>
    <w:p>
      <w:pPr>
        <w:pStyle w:val="BodyText"/>
      </w:pPr>
      <w:r>
        <w:t xml:space="preserve">29.78</w:t>
      </w:r>
    </w:p>
    <w:p>
      <w:pPr>
        <w:pStyle w:val="BodyText"/>
      </w:pPr>
      <w:r>
        <w:t xml:space="preserve">d&gt;+2.4%</w:t>
      </w:r>
    </w:p>
    <w:p>
      <w:pPr>
        <w:pStyle w:val="BodyText"/>
      </w:pPr>
      <w:r>
        <w:t xml:space="preserve">Customer Retention Rate</w:t>
      </w:r>
    </w:p>
    <w:p>
      <w:pPr>
        <w:pStyle w:val="BodyText"/>
      </w:pPr>
      <w:r>
        <w:t xml:space="preserve">68%</w:t>
      </w:r>
    </w:p>
    <w:p>
      <w:pPr>
        <w:pStyle w:val="BodyText"/>
      </w:pPr>
      <w:r>
        <w:t xml:space="preserve">63%</w:t>
      </w:r>
    </w:p>
    <w:p>
      <w:pPr>
        <w:pStyle w:val="BodyText"/>
      </w:pPr>
      <w:r>
        <w:t xml:space="preserve">+5 points</w:t>
      </w:r>
    </w:p>
    <w:p>
      <w:pPr>
        <w:pStyle w:val="BodyText"/>
      </w:pPr>
      <w:r>
        <w:t xml:space="preserve">New Customer Acquisition</w:t>
      </w:r>
    </w:p>
    <w:p>
      <w:pPr>
        <w:pStyle w:val="BodyText"/>
      </w:pPr>
      <w:r>
        <w:t xml:space="preserve">&lt;</w:t>
      </w:r>
    </w:p>
    <w:p>
      <w:pPr>
        <w:pStyle w:val="BodyText"/>
      </w:pPr>
      <w:r>
        <w:t xml:space="preserve">2,410</w:t>
      </w:r>
    </w:p>
    <w:p>
      <w:pPr>
        <w:pStyle w:val="BodyText"/>
      </w:pPr>
      <w:r>
        <w:t xml:space="preserve">&lt;</w:t>
      </w:r>
    </w:p>
    <w:p>
      <w:pPr>
        <w:pStyle w:val="BodyText"/>
      </w:pPr>
      <w:r>
        <w:t xml:space="preserve">1,875d&gt;+28.5%</w:t>
      </w:r>
    </w:p>
    <w:bookmarkEnd w:id="21"/>
    <w:bookmarkStart w:id="22" w:name="X1c9d27df3a69371997a574614a481f3ba4276d7"/>
    <w:p>
      <w:pPr>
        <w:pStyle w:val="Heading2"/>
      </w:pPr>
      <w:r>
        <w:t xml:space="preserve">Regional Analysis: Baker's Dubai Market Performance</w:t>
      </w:r>
    </w:p>
    <w:p>
      <w:pPr>
        <w:pStyle w:val="FirstParagraph"/>
      </w:pPr>
      <w:r>
        <w:t xml:space="preserve">Baker's success in United Arab Emirates Dubai is particularly notable given the market's intense competition and sophisticated consumer base. The Dubai division accounted for 67% of Baker's total UAE revenue, reflecting its status as the brand's flagship market. Strategic locations at Palm Jumeirah, Downtown Dubai, and Marina District contributed significantly to this performance. Notably, our boutique bakery at Mall of Emirates achieved a 23% sales surge from Ramadan specials alone – highlighting how cultural events drive demand for premium baked goods in Dubai. The UAE government's 'Dubai Economic Agenda D33' initiatives supporting food entrepreneurship directly benefited Baker through streamlined licensing processes and tourism partnerships.</w:t>
      </w:r>
    </w:p>
    <w:bookmarkEnd w:id="22"/>
    <w:bookmarkStart w:id="23" w:name="product-performance-highlights"/>
    <w:p>
      <w:pPr>
        <w:pStyle w:val="Heading2"/>
      </w:pPr>
      <w:r>
        <w:t xml:space="preserve">Product Performance Highlights</w:t>
      </w:r>
    </w:p>
    <w:p>
      <w:pPr>
        <w:pStyle w:val="FirstParagraph"/>
      </w:pPr>
      <w:r>
        <w:t xml:space="preserve">Our premium product line generated the strongest growth in Dubai, with signature items like 'Majlis Delight' (dates-stuffed pastry) and 'Gold Leaf Croissant' driving both volume and average order value. These culturally resonant products account for 38% of total sales in United Arab Emirates Dubai – a 12-point increase from last year. The data reveals that Dubai consumers demonstrate higher willingness to pay for premium bakery items compared to other Gulf markets, with 54% of transactions including at least one luxury item (compared to UAE average of 42%). Baker's innovation pipeline – particularly the 'Emirati Heritage' range developed in partnership with Dubai Culture – has become a key differentiator.</w:t>
      </w:r>
    </w:p>
    <w:bookmarkEnd w:id="23"/>
    <w:bookmarkStart w:id="24" w:name="market-trends-strategic-positioning"/>
    <w:p>
      <w:pPr>
        <w:pStyle w:val="Heading2"/>
      </w:pPr>
      <w:r>
        <w:t xml:space="preserve">Market Trends &amp; Strategic Positioning</w:t>
      </w:r>
    </w:p>
    <w:p>
      <w:pPr>
        <w:pStyle w:val="FirstParagraph"/>
      </w:pPr>
      <w:r>
        <w:t xml:space="preserve">The United Arab Emirates Dubai bakery market is experiencing transformative shifts. Baker's Sales Report identifies three critical trends shaping our strategy:</w:t>
      </w:r>
    </w:p>
    <w:p>
      <w:pPr>
        <w:numPr>
          <w:ilvl w:val="0"/>
          <w:numId w:val="1001"/>
        </w:numPr>
        <w:pStyle w:val="Compact"/>
      </w:pPr>
      <w:r>
        <w:rPr>
          <w:bCs/>
          <w:b/>
        </w:rPr>
        <w:t xml:space="preserve">Health-Conscious Premiumization:</w:t>
      </w:r>
      <w:r>
        <w:t xml:space="preserve"> </w:t>
      </w:r>
      <w:r>
        <w:t xml:space="preserve">41% of Dubai customers now actively seek 'clean-label' products, driving demand for organic ingredients and reduced-sugar options in Baker's Dubai outlets.</w:t>
      </w:r>
    </w:p>
    <w:p>
      <w:pPr>
        <w:numPr>
          <w:ilvl w:val="0"/>
          <w:numId w:val="1001"/>
        </w:numPr>
        <w:pStyle w:val="Compact"/>
      </w:pPr>
      <w:r>
        <w:rPr>
          <w:bCs/>
          <w:b/>
        </w:rPr>
        <w:t xml:space="preserve">Ramadan as Revenue Catalyst:</w:t>
      </w:r>
      <w:r>
        <w:t xml:space="preserve"> </w:t>
      </w:r>
      <w:r>
        <w:t xml:space="preserve">In Dubai, Ramadan sales contribute 28% of annual bakery revenue – up from 21% last year. Baker's strategic inventory planning for Ramadan (launching specialty items 6 weeks prior) captured a record market share of 31.7% during the holy month.</w:t>
      </w:r>
    </w:p>
    <w:p>
      <w:pPr>
        <w:numPr>
          <w:ilvl w:val="0"/>
          <w:numId w:val="1001"/>
        </w:numPr>
        <w:pStyle w:val="Compact"/>
      </w:pPr>
      <w:r>
        <w:rPr>
          <w:bCs/>
          <w:b/>
        </w:rPr>
        <w:t xml:space="preserve">Retail Expansion:</w:t>
      </w:r>
      <w:r>
        <w:t xml:space="preserve"> </w:t>
      </w:r>
      <w:r>
        <w:t xml:space="preserve">Partnering with Dubai-based luxury retailers like Al Tayer and Lulu Hypermarket increased Baker's market footprint by 42%, with Dubai representing 87% of all new retail partnerships in UAE.</w:t>
      </w:r>
    </w:p>
    <w:bookmarkEnd w:id="24"/>
    <w:bookmarkStart w:id="25" w:name="challenges-opportunities-in-dubai-market"/>
    <w:p>
      <w:pPr>
        <w:pStyle w:val="Heading2"/>
      </w:pPr>
      <w:r>
        <w:t xml:space="preserve">Challenges &amp; Opportunities in Dubai Market</w:t>
      </w:r>
    </w:p>
    <w:p>
      <w:pPr>
        <w:pStyle w:val="FirstParagraph"/>
      </w:pPr>
      <w:r>
        <w:t xml:space="preserve">While Baker's performance in United Arab Emirates Dubai is strong, challenges require attention. Rising import costs for key ingredients (butter, vanilla) have compressed margins by 3.2% since Q1. However, this is offset by a 19% increase in private-label sales through Dubai's emerging hypermarket chains. The most significant opportunity lies in leveraging Dubai's status as a global tourism hub – Baker now receives over 1,200 weekly requests from international visitors for custom gift boxes. We recommend expanding our 'Dubai Experience' gift collection and enhancing digital ordering capabilities to capture this segment.</w:t>
      </w:r>
    </w:p>
    <w:bookmarkEnd w:id="25"/>
    <w:bookmarkStart w:id="26" w:name="conclusion-strategic-outlook"/>
    <w:p>
      <w:pPr>
        <w:pStyle w:val="Heading2"/>
      </w:pPr>
      <w:r>
        <w:t xml:space="preserve">Conclusion &amp; Strategic Outlook</w:t>
      </w:r>
    </w:p>
    <w:p>
      <w:pPr>
        <w:pStyle w:val="FirstParagraph"/>
      </w:pPr>
      <w:r>
        <w:t xml:space="preserve">This Sales Report confirms that Baker has established itself as a premium bakery leader within United Arab Emirates Dubai, with Q2 2024 representing our strongest quarterly performance to date. The Dubai market's cultural affinity for high-quality baked goods, combined with strategic partnerships and product innovation, has positioned Baker for sustainable growth. Our focus will now shift to scaling the successful Ramadan model year-round and capitalizing on Dubai's tourism boom through enhanced e-commerce integrations. As the United Arab Emirates continues its vision of becoming a global culinary destination under Vision 2030, Baker remains committed to delivering exceptional bakery experiences that resonate with Dubai's unique cultural identity. The future outlook for Baker in Dubai is exceptionally bright – we project 18-22% growth for Q3 through targeted promotions aligning with Dubai's upcoming Expo City initiatives.</w:t>
      </w:r>
    </w:p>
    <w:p>
      <w:pPr>
        <w:pStyle w:val="BodyText"/>
      </w:pPr>
      <w:r>
        <w:rPr>
          <w:bCs/>
          <w:b/>
        </w:rPr>
        <w:t xml:space="preserve">Key Takeaway for Baker Management:</w:t>
      </w:r>
      <w:r>
        <w:t xml:space="preserve"> </w:t>
      </w:r>
      <w:r>
        <w:t xml:space="preserve">Dubai is not merely a profitable market – it's Baker's strategic growth engine within the United Arab Emirates. The cultural alignment of our products with Emirati traditions has created an unbeatable competitive advantage. We recommend doubling down on Dubai-specific initiatives while replicating successful tactics across other UAE emirates.</w:t>
      </w:r>
    </w:p>
    <w:p>
      <w:pPr>
        <w:pStyle w:val="BodyText"/>
      </w:pPr>
      <w:r>
        <w:t xml:space="preserve">Baker United Arab Emirates - Crafting Exceptional Moments Through Every Bite | www.baker.ae | Dubai,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 United Arab Emirates Dubai Market</dc:title>
  <dc:creator/>
  <dc:language>en</dc:language>
  <cp:keywords/>
  <dcterms:created xsi:type="dcterms:W3CDTF">2026-07-23T19:17:24Z</dcterms:created>
  <dcterms:modified xsi:type="dcterms:W3CDTF">2026-07-23T19:17:24Z</dcterms:modified>
</cp:coreProperties>
</file>

<file path=docProps/custom.xml><?xml version="1.0" encoding="utf-8"?>
<Properties xmlns="http://schemas.openxmlformats.org/officeDocument/2006/custom-properties" xmlns:vt="http://schemas.openxmlformats.org/officeDocument/2006/docPropsVTypes"/>
</file>