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Performance</w:t>
      </w:r>
    </w:p>
    <w:bookmarkStart w:id="27" w:name="X4cbf484e5ab7e465172466bb95d29c1d6995369"/>
    <w:p>
      <w:pPr>
        <w:pStyle w:val="Heading1"/>
      </w:pPr>
      <w:r>
        <w:t xml:space="preserve">Comprehensive Sales Report: Baker's Operations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Baker's performance across the United Kingdom Birmingham market during Q3 2023. The report demonstrates Baker's strategic growth trajectory within Birmingham, with a remarkable 18% year-on-year sales increase and significant market share gains in the competitive bakery sector. As a cornerstone of Baker's UK expansion strategy, our Birmingham operations have consistently exceeded targets, reinforcing our commitment to becoming the preferred bakery brand throughout United Kingdom Birmingham communities. This report details key achievements, market dynamics, and actionable insights derived from Birmingham's unique consumer landscape.</w:t>
      </w:r>
    </w:p>
    <w:bookmarkEnd w:id="20"/>
    <w:bookmarkStart w:id="21" w:name="Xfa5c8c126f72edd74ec9cf78c931ce493873202"/>
    <w:p>
      <w:pPr>
        <w:pStyle w:val="Heading2"/>
      </w:pPr>
      <w:r>
        <w:t xml:space="preserve">II. Performance Overview: Baker in United Kingdom Birmingham</w:t>
      </w:r>
    </w:p>
    <w:p>
      <w:pPr>
        <w:pStyle w:val="FirstParagraph"/>
      </w:pPr>
      <w:r>
        <w:t xml:space="preserve">Baker's Birmingham operations delivered exceptional results during Q3 2023, achieving £1.84M in gross sales compared to £1.56M in the previous year's quarter – a 17.9% growth rate that outperforms the UK bakery market average of 4.2%. This achievement solidifies Baker's position as Birmingham's fastest-growing bakery brand, with our footprint now covering 12 strategically located stores across key Birmingham districts including Aston, Edgbaston, and Selly Oak.</w:t>
      </w:r>
    </w:p>
    <w:p>
      <w:pPr>
        <w:pStyle w:val="BodyText"/>
      </w:pPr>
      <w:r>
        <w:t xml:space="preserve">Our customer retention rate in Birmingham reached 76% – significantly higher than the industry average of 58% – driven by Baker's signature "Birmingham Loyalty Cup" program offering free pastries with every fifth purchase. The program has successfully cultivated a community-focused brand identity, with over 22,000 active members across United Kingdom Birmingham. Notably, our Birmingham stores accounted for 34% of all Baker UK sales in Q3, marking a 9 percentage point increase from the previous year.</w:t>
      </w:r>
    </w:p>
    <w:bookmarkEnd w:id="21"/>
    <w:bookmarkStart w:id="22" w:name="X64c239a360616e4aa3346e7668f879f2de67c0c"/>
    <w:p>
      <w:pPr>
        <w:pStyle w:val="Heading2"/>
      </w:pPr>
      <w:r>
        <w:t xml:space="preserve">III. Regional Analysis: Birmingham Market Dynamics</w:t>
      </w:r>
    </w:p>
    <w:p>
      <w:pPr>
        <w:pStyle w:val="FirstParagraph"/>
      </w:pPr>
      <w:r>
        <w:t xml:space="preserve">United Kingdom Birmingham presents unique market characteristics that Baker has successfully leveraged. As the UK's second-largest city with a diverse population of 1.2 million, Birmingham offers a rich tapestry of cultural influences that Baker has incorporated into its product range through our "Birmingham Bites" initiative. This localized approach includes seasonal items like Jamaican Blue Mountain coffee pastries (for the vibrant Caribbean community) and Marmite-infused breads (catering to Midlands taste preferences).</w:t>
      </w:r>
    </w:p>
    <w:p>
      <w:pPr>
        <w:pStyle w:val="BodyText"/>
      </w:pPr>
      <w:r>
        <w:t xml:space="preserve">Key market insights from Birmingham:</w:t>
      </w:r>
    </w:p>
    <w:p>
      <w:pPr>
        <w:numPr>
          <w:ilvl w:val="0"/>
          <w:numId w:val="1001"/>
        </w:numPr>
        <w:pStyle w:val="Compact"/>
      </w:pPr>
      <w:r>
        <w:rPr>
          <w:bCs/>
          <w:b/>
        </w:rPr>
        <w:t xml:space="preserve">Competitive Landscape:</w:t>
      </w:r>
      <w:r>
        <w:t xml:space="preserve"> </w:t>
      </w:r>
      <w:r>
        <w:t xml:space="preserve">While established chains like Greggs maintain strong presence, Baker's artisanal differentiation captured 12% of the premium bakery segment in Birmingham – a 5.3% gain from Q2.</w:t>
      </w:r>
    </w:p>
    <w:p>
      <w:pPr>
        <w:numPr>
          <w:ilvl w:val="0"/>
          <w:numId w:val="1001"/>
        </w:numPr>
        <w:pStyle w:val="Compact"/>
      </w:pPr>
      <w:r>
        <w:rPr>
          <w:bCs/>
          <w:b/>
        </w:rPr>
        <w:t xml:space="preserve">Consumer Trends:</w:t>
      </w:r>
      <w:r>
        <w:t xml:space="preserve"> </w:t>
      </w:r>
      <w:r>
        <w:t xml:space="preserve">68% of Birmingham customers now prioritize locally sourced ingredients (vs. 45% nationally), which Baker fully supports through partnerships with West Midlands farms.</w:t>
      </w:r>
    </w:p>
    <w:p>
      <w:pPr>
        <w:numPr>
          <w:ilvl w:val="0"/>
          <w:numId w:val="1001"/>
        </w:numPr>
        <w:pStyle w:val="Compact"/>
      </w:pPr>
      <w:r>
        <w:rPr>
          <w:bCs/>
          <w:b/>
        </w:rPr>
        <w:t xml:space="preserve">Foot Traffic Drivers:</w:t>
      </w:r>
      <w:r>
        <w:t xml:space="preserve"> </w:t>
      </w:r>
      <w:r>
        <w:t xml:space="preserve">Our store locations near Birmingham City University and the NEC Exhibition Centre generated 32% higher footfall on weekday mornings compared to non-educational zones.</w:t>
      </w:r>
    </w:p>
    <w:bookmarkEnd w:id="22"/>
    <w:bookmarkStart w:id="23" w:name="iv.-product-line-performance"/>
    <w:p>
      <w:pPr>
        <w:pStyle w:val="Heading2"/>
      </w:pPr>
      <w:r>
        <w:t xml:space="preserve">IV. Product Line Performance</w:t>
      </w:r>
    </w:p>
    <w:p>
      <w:pPr>
        <w:pStyle w:val="FirstParagraph"/>
      </w:pPr>
      <w:r>
        <w:t xml:space="preserve">Baker's product portfolio in United Kingdom Birmingham demonstrated clear regional preferences: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YoY Growth</w:t>
            </w:r>
          </w:p>
        </w:tc>
        <w:tc>
          <w:tcPr/>
          <w:p>
            <w:pPr>
              <w:pStyle w:val="Compact"/>
              <w:jc w:val="left"/>
            </w:pPr>
            <w:r>
              <w:t xml:space="preserve">Birmingham Market Share</w:t>
            </w:r>
          </w:p>
        </w:tc>
      </w:tr>
      <w:tr>
        <w:tc>
          <w:tcPr/>
          <w:p>
            <w:pPr>
              <w:pStyle w:val="Compact"/>
              <w:jc w:val="left"/>
            </w:pPr>
            <w:r>
              <w:t xml:space="preserve">Artisan Bread Collection</w:t>
            </w:r>
          </w:p>
        </w:tc>
        <w:tc>
          <w:tcPr/>
          <w:p>
            <w:pPr>
              <w:pStyle w:val="Compact"/>
              <w:jc w:val="left"/>
            </w:pPr>
            <w:r>
              <w:t xml:space="preserve">£485,000</w:t>
            </w:r>
          </w:p>
        </w:tc>
        <w:tc>
          <w:tcPr/>
          <w:p>
            <w:pPr>
              <w:pStyle w:val="Compact"/>
              <w:jc w:val="left"/>
            </w:pPr>
            <w:r>
              <w:t xml:space="preserve">+22.1%</w:t>
            </w:r>
          </w:p>
        </w:tc>
        <w:tc>
          <w:tcPr/>
          <w:p>
            <w:pPr>
              <w:pStyle w:val="Compact"/>
              <w:jc w:val="left"/>
            </w:pPr>
            <w:r>
              <w:t xml:space="preserve">18.7%</w:t>
            </w:r>
          </w:p>
        </w:tc>
      </w:tr>
      <w:tr>
        <w:tc>
          <w:tcPr/>
          <w:p>
            <w:pPr>
              <w:pStyle w:val="Compact"/>
              <w:jc w:val="left"/>
            </w:pPr>
            <w:r>
              <w:t xml:space="preserve">Custom Cake Orders</w:t>
            </w:r>
          </w:p>
        </w:tc>
        <w:tc>
          <w:tcPr/>
          <w:p>
            <w:pPr>
              <w:pStyle w:val="Compact"/>
              <w:jc w:val="left"/>
            </w:pPr>
            <w:r>
              <w:t xml:space="preserve">£326,500</w:t>
            </w:r>
          </w:p>
        </w:tc>
        <w:tc>
          <w:tcPr/>
          <w:p>
            <w:pPr>
              <w:pStyle w:val="Compact"/>
              <w:jc w:val="left"/>
            </w:pPr>
            <w:r>
              <w:t xml:space="preserve">+34.8%</w:t>
            </w:r>
          </w:p>
        </w:tc>
        <w:tc>
          <w:tcPr/>
          <w:p>
            <w:pPr>
              <w:pStyle w:val="Compact"/>
              <w:jc w:val="left"/>
            </w:pPr>
            <w:r>
              <w:t xml:space="preserve">29.3%</w:t>
            </w:r>
          </w:p>
        </w:tc>
      </w:tr>
      <w:tr>
        <w:tc>
          <w:tcPr/>
          <w:p>
            <w:pPr>
              <w:pStyle w:val="Compact"/>
              <w:jc w:val="left"/>
            </w:pPr>
            <w:r>
              <w:t xml:space="preserve">Breakfast Sandwiches</w:t>
            </w:r>
          </w:p>
        </w:tc>
        <w:tc>
          <w:tcPr/>
          <w:p>
            <w:pPr>
              <w:pStyle w:val="Compact"/>
              <w:jc w:val="left"/>
            </w:pPr>
            <w:r>
              <w:t xml:space="preserve">£289,000</w:t>
            </w:r>
          </w:p>
        </w:tc>
        <w:tc>
          <w:tcPr/>
          <w:p>
            <w:pPr>
              <w:pStyle w:val="Compact"/>
              <w:jc w:val="left"/>
            </w:pPr>
            <w:r>
              <w:t xml:space="preserve">+15.6%</w:t>
            </w:r>
          </w:p>
        </w:tc>
        <w:tc>
          <w:tcPr/>
          <w:p>
            <w:pPr>
              <w:pStyle w:val="Compact"/>
              <w:jc w:val="left"/>
            </w:pPr>
            <w:r>
              <w:t xml:space="preserve">14.2%</w:t>
            </w:r>
          </w:p>
        </w:tc>
      </w:tr>
      <w:tr>
        <w:tc>
          <w:tcPr/>
          <w:p>
            <w:pPr>
              <w:pStyle w:val="Compact"/>
              <w:jc w:val="left"/>
            </w:pPr>
            <w:r>
              <w:t xml:space="preserve">Lunch &amp; Bake Sales</w:t>
            </w:r>
          </w:p>
        </w:tc>
        <w:tc>
          <w:tcPr/>
          <w:p>
            <w:pPr>
              <w:pStyle w:val="Compact"/>
              <w:jc w:val="left"/>
            </w:pPr>
            <w:r>
              <w:t xml:space="preserve">£345,200</w:t>
            </w:r>
          </w:p>
        </w:tc>
        <w:tc>
          <w:tcPr/>
          <w:p>
            <w:pPr>
              <w:pStyle w:val="Compact"/>
              <w:jc w:val="left"/>
            </w:pPr>
            <w:r>
              <w:t xml:space="preserve">+28.9%</w:t>
            </w:r>
          </w:p>
        </w:tc>
        <w:tc>
          <w:tcPr/>
          <w:p>
            <w:pPr>
              <w:pStyle w:val="Compact"/>
              <w:jc w:val="left"/>
            </w:pPr>
            <w:r>
              <w:t xml:space="preserve">19.8%</w:t>
            </w:r>
          </w:p>
        </w:tc>
      </w:tr>
    </w:tbl>
    <w:p>
      <w:pPr>
        <w:pStyle w:val="BodyText"/>
      </w:pPr>
      <w:r>
        <w:t xml:space="preserve">Notably, Baker's custom cake orders in Birmingham surged by 34.8% due to our partnership with Birmingham's wedding industry associations, while "Lunch &amp; Bake" sales increased through strategic lunch-hour promotions at nearby office complexes like the Colmore Building.</w:t>
      </w:r>
    </w:p>
    <w:bookmarkEnd w:id="23"/>
    <w:bookmarkStart w:id="24" w:name="v.-marketing-community-engagement"/>
    <w:p>
      <w:pPr>
        <w:pStyle w:val="Heading2"/>
      </w:pPr>
      <w:r>
        <w:t xml:space="preserve">V. Marketing &amp; Community Engagement</w:t>
      </w:r>
    </w:p>
    <w:p>
      <w:pPr>
        <w:pStyle w:val="FirstParagraph"/>
      </w:pPr>
      <w:r>
        <w:t xml:space="preserve">Baker's community-centric approach in United Kingdom Birmingham directly fueled Q3 success. Our "Birmingham Bakes Back" initiative – donating 5% of every purchase to local food banks – generated significant positive PR, with coverage in the Birmingham Mail and BBC Midlands Today. This campaign drove a 27% increase in social media engagement specifically from Birmingham residents.</w:t>
      </w:r>
    </w:p>
    <w:p>
      <w:pPr>
        <w:pStyle w:val="BodyText"/>
      </w:pPr>
      <w:r>
        <w:t xml:space="preserve">Additionally, Baker's sponsorship of the Birmingham Food Festival (the UK's largest free culinary event) positioned us as a community leader. Our festival presence attracted over 14,000 visitors to our stall, with 63% converting to in-store visits – directly contributing to a 21% QoQ increase in new customer acquisition across Birmingham stores.</w:t>
      </w:r>
    </w:p>
    <w:bookmarkEnd w:id="24"/>
    <w:bookmarkStart w:id="25" w:name="vi.-challenges-strategic-opportunities"/>
    <w:p>
      <w:pPr>
        <w:pStyle w:val="Heading2"/>
      </w:pPr>
      <w:r>
        <w:t xml:space="preserve">VI. Challenges &amp; Strategic Opportunities</w:t>
      </w:r>
    </w:p>
    <w:p>
      <w:pPr>
        <w:pStyle w:val="FirstParagraph"/>
      </w:pPr>
      <w:r>
        <w:t xml:space="preserve">Despite strong performance, Baker identified two critical challenges in United Kingdom Birmingham operations:</w:t>
      </w:r>
    </w:p>
    <w:p>
      <w:pPr>
        <w:numPr>
          <w:ilvl w:val="0"/>
          <w:numId w:val="1002"/>
        </w:numPr>
        <w:pStyle w:val="Compact"/>
      </w:pPr>
      <w:r>
        <w:rPr>
          <w:bCs/>
          <w:b/>
        </w:rPr>
        <w:t xml:space="preserve">Supply Chain Pressure:</w:t>
      </w:r>
      <w:r>
        <w:t xml:space="preserve"> </w:t>
      </w:r>
      <w:r>
        <w:t xml:space="preserve">Rising flour costs impacted margins by 3.7% in Q3. Solution: Securing a long-term contract with West Midlands Grain Co-operative to stabilize pricing.</w:t>
      </w:r>
    </w:p>
    <w:p>
      <w:pPr>
        <w:numPr>
          <w:ilvl w:val="0"/>
          <w:numId w:val="1002"/>
        </w:numPr>
        <w:pStyle w:val="Compact"/>
      </w:pPr>
      <w:r>
        <w:rPr>
          <w:bCs/>
          <w:b/>
        </w:rPr>
        <w:t xml:space="preserve">Competition Response:</w:t>
      </w:r>
      <w:r>
        <w:t xml:space="preserve"> </w:t>
      </w:r>
      <w:r>
        <w:t xml:space="preserve">Greggs' new "Birmingham Special" range prompted temporary price sensitivity. Solution: Launched Baker's "Local Hero" loyalty tier offering exclusive Birmingham-themed products.</w:t>
      </w:r>
    </w:p>
    <w:p>
      <w:pPr>
        <w:pStyle w:val="FirstParagraph"/>
      </w:pPr>
      <w:r>
        <w:t xml:space="preserve">Future opportunities include expanding into Birmingham's growing vegan market (18% of city residents identify as vegetarian/vegan) and developing a dedicated "Birmingham Bakery Tour" for tourists – capitalizing on the city's 12 million annual visitors.</w:t>
      </w:r>
    </w:p>
    <w:bookmarkEnd w:id="25"/>
    <w:bookmarkStart w:id="26" w:name="vii.-conclusion-forward-outlook"/>
    <w:p>
      <w:pPr>
        <w:pStyle w:val="Heading2"/>
      </w:pPr>
      <w:r>
        <w:t xml:space="preserve">VII. Conclusion &amp; Forward Outlook</w:t>
      </w:r>
    </w:p>
    <w:p>
      <w:pPr>
        <w:pStyle w:val="FirstParagraph"/>
      </w:pPr>
      <w:r>
        <w:t xml:space="preserve">This Sales Report unequivocally demonstrates Baker's successful integration into United Kingdom Birmingham's commercial ecosystem. Our Q3 results reflect a deep understanding of Birmingham consumers' values – prioritizing community, local partnerships, and authentic product experiences. As we position Baker for national expansion, the United Kingdom Birmingham market serves as our most compelling success story and strategic blueprint.</w:t>
      </w:r>
    </w:p>
    <w:p>
      <w:pPr>
        <w:pStyle w:val="BodyText"/>
      </w:pPr>
      <w:r>
        <w:t xml:space="preserve">Looking ahead to Q4 2023, Baker plans to:</w:t>
      </w:r>
    </w:p>
    <w:p>
      <w:pPr>
        <w:numPr>
          <w:ilvl w:val="0"/>
          <w:numId w:val="1003"/>
        </w:numPr>
        <w:pStyle w:val="Compact"/>
      </w:pPr>
      <w:r>
        <w:t xml:space="preserve">Open two new flagship stores in Birmingham's Digbeth regeneration zone</w:t>
      </w:r>
    </w:p>
    <w:p>
      <w:pPr>
        <w:numPr>
          <w:ilvl w:val="0"/>
          <w:numId w:val="1003"/>
        </w:numPr>
        <w:pStyle w:val="Compact"/>
      </w:pPr>
      <w:r>
        <w:t xml:space="preserve">Leverage Birmingham's hosting of the Commonwealth Games (July 2024) for a "Global Flavors" product line</w:t>
      </w:r>
    </w:p>
    <w:p>
      <w:pPr>
        <w:numPr>
          <w:ilvl w:val="0"/>
          <w:numId w:val="1003"/>
        </w:numPr>
        <w:pStyle w:val="Compact"/>
      </w:pPr>
      <w:r>
        <w:t xml:space="preserve">Implement AI-driven demand forecasting specifically for Birmingham weather patterns and event calendars</w:t>
      </w:r>
    </w:p>
    <w:p>
      <w:pPr>
        <w:pStyle w:val="FirstParagraph"/>
      </w:pPr>
      <w:r>
        <w:t xml:space="preserve">By maintaining Baker's core values while adapting to United Kingdom Birmingham's vibrant spirit, we are confident in sustaining our 15-20% annual growth trajectory. The success of this Sales Report underscores that Baker isn't just selling baked goods – we're becoming an intrinsic part of Birmingham's culinary identity. As the city continues its economic renaissance, Baker stands ready to grow alongside it, reinforcing our commitment to excellence in every Birmingham neighborhood.</w:t>
      </w:r>
    </w:p>
    <w:p>
      <w:pPr>
        <w:pStyle w:val="BodyText"/>
      </w:pPr>
      <w:r>
        <w:rPr>
          <w:bCs/>
          <w:b/>
        </w:rPr>
        <w:t xml:space="preserve">Prepared by:</w:t>
      </w:r>
      <w:r>
        <w:t xml:space="preserve"> </w:t>
      </w:r>
      <w:r>
        <w:t xml:space="preserve">Baker UK Strategic Sales Team</w:t>
      </w:r>
      <w:r>
        <w:br/>
      </w:r>
      <w:r>
        <w:rPr>
          <w:bCs/>
          <w:b/>
        </w:rPr>
        <w:t xml:space="preserve">Approved by:</w:t>
      </w:r>
      <w:r>
        <w:t xml:space="preserve"> </w:t>
      </w:r>
      <w:r>
        <w:t xml:space="preserve">CEO, Baker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United Kingdom Birmingham Performance</dc:title>
  <dc:creator/>
  <dc:language>en</dc:language>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